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E08A3" w14:textId="77777777" w:rsidR="005A77B5" w:rsidRDefault="005A77B5" w:rsidP="005A77B5">
      <w:pPr>
        <w:jc w:val="right"/>
        <w:rPr>
          <w:b/>
          <w:color w:val="FF0000"/>
        </w:rPr>
      </w:pPr>
      <w:r>
        <w:rPr>
          <w:b/>
        </w:rPr>
        <w:t>Załącznik nr 1A</w:t>
      </w:r>
    </w:p>
    <w:p w14:paraId="06AE1116" w14:textId="77777777" w:rsidR="005A77B5" w:rsidRDefault="005A77B5" w:rsidP="005A77B5"/>
    <w:p w14:paraId="5ED2317D" w14:textId="13FBAB03" w:rsidR="005A77B5" w:rsidRDefault="005A77B5" w:rsidP="005A77B5">
      <w:r>
        <w:t>Serwer</w:t>
      </w:r>
      <w:r w:rsidR="00003271">
        <w:t xml:space="preserve"> </w:t>
      </w:r>
      <w:r w:rsidR="00A1368E">
        <w:rPr>
          <w:rFonts w:cstheme="minorHAnsi"/>
          <w:color w:val="000000"/>
        </w:rPr>
        <w:t xml:space="preserve">z pakietem gwarancyjnym producenta </w:t>
      </w:r>
      <w:r w:rsidR="00CA6559">
        <w:rPr>
          <w:rFonts w:cstheme="minorHAnsi"/>
          <w:color w:val="000000"/>
        </w:rPr>
        <w:t xml:space="preserve">i oprogramowaniem </w:t>
      </w:r>
      <w:r w:rsidR="0011063D">
        <w:t>(konfiguracja nr 1) -</w:t>
      </w:r>
      <w:r>
        <w:t xml:space="preserve"> 2 sztuki</w:t>
      </w:r>
    </w:p>
    <w:p w14:paraId="40C17798" w14:textId="77777777" w:rsidR="005A77B5" w:rsidRDefault="005A77B5" w:rsidP="005A77B5"/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8"/>
        <w:gridCol w:w="1800"/>
        <w:gridCol w:w="3984"/>
        <w:gridCol w:w="3628"/>
      </w:tblGrid>
      <w:tr w:rsidR="005A77B5" w14:paraId="655A9B68" w14:textId="77777777" w:rsidTr="00367A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5E20D" w14:textId="77777777" w:rsidR="005A77B5" w:rsidRPr="00003271" w:rsidRDefault="005A77B5">
            <w:pPr>
              <w:spacing w:line="256" w:lineRule="auto"/>
              <w:ind w:left="-30"/>
              <w:rPr>
                <w:b/>
                <w:sz w:val="22"/>
                <w:szCs w:val="22"/>
                <w:lang w:eastAsia="en-US"/>
              </w:rPr>
            </w:pPr>
            <w:r w:rsidRPr="00003271">
              <w:rPr>
                <w:b/>
                <w:sz w:val="22"/>
                <w:szCs w:val="22"/>
                <w:lang w:eastAsia="en-US"/>
              </w:rPr>
              <w:t>Lp.</w:t>
            </w:r>
          </w:p>
          <w:p w14:paraId="378DF2C7" w14:textId="77777777" w:rsidR="005A77B5" w:rsidRPr="00003271" w:rsidRDefault="005A77B5">
            <w:pPr>
              <w:spacing w:line="256" w:lineRule="auto"/>
              <w:ind w:left="-3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77EE7" w14:textId="77777777" w:rsidR="005A77B5" w:rsidRPr="00003271" w:rsidRDefault="005A77B5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003271">
              <w:rPr>
                <w:b/>
                <w:sz w:val="22"/>
                <w:szCs w:val="22"/>
                <w:lang w:eastAsia="en-US"/>
              </w:rPr>
              <w:t>CECHA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C501D" w14:textId="77777777" w:rsidR="005A77B5" w:rsidRPr="00003271" w:rsidRDefault="005A77B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03271">
              <w:rPr>
                <w:b/>
                <w:sz w:val="22"/>
                <w:szCs w:val="22"/>
                <w:lang w:eastAsia="en-US"/>
              </w:rPr>
              <w:t xml:space="preserve">WYMAGANIA  I PARAMETRY </w:t>
            </w:r>
            <w:r w:rsidRPr="00003271">
              <w:rPr>
                <w:b/>
                <w:sz w:val="22"/>
                <w:szCs w:val="22"/>
                <w:u w:val="single"/>
                <w:lang w:eastAsia="en-US"/>
              </w:rPr>
              <w:t>MINIMALNE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5A4D77" w14:textId="77777777" w:rsidR="005A77B5" w:rsidRPr="00003271" w:rsidRDefault="005A77B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03271">
              <w:rPr>
                <w:b/>
                <w:sz w:val="22"/>
                <w:szCs w:val="22"/>
                <w:lang w:eastAsia="en-US"/>
              </w:rPr>
              <w:t xml:space="preserve">PARAMETRY  I WYPOSAŻENIE </w:t>
            </w:r>
            <w:r w:rsidRPr="00003271">
              <w:rPr>
                <w:b/>
                <w:sz w:val="22"/>
                <w:szCs w:val="22"/>
                <w:u w:val="single"/>
                <w:lang w:eastAsia="en-US"/>
              </w:rPr>
              <w:t>OFEROWANE</w:t>
            </w:r>
            <w:r w:rsidRPr="00003271">
              <w:rPr>
                <w:b/>
                <w:sz w:val="22"/>
                <w:szCs w:val="22"/>
                <w:lang w:eastAsia="en-US"/>
              </w:rPr>
              <w:t>*</w:t>
            </w:r>
          </w:p>
        </w:tc>
      </w:tr>
      <w:tr w:rsidR="005A77B5" w14:paraId="22E337E7" w14:textId="77777777" w:rsidTr="00367A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8C211" w14:textId="77777777" w:rsidR="005A77B5" w:rsidRPr="00003271" w:rsidRDefault="005A77B5">
            <w:pPr>
              <w:spacing w:line="256" w:lineRule="auto"/>
              <w:ind w:left="-30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9E57C" w14:textId="77777777" w:rsidR="005A77B5" w:rsidRPr="00003271" w:rsidRDefault="005A77B5">
            <w:pPr>
              <w:spacing w:line="256" w:lineRule="auto"/>
              <w:rPr>
                <w:snapToGrid w:val="0"/>
                <w:sz w:val="20"/>
                <w:szCs w:val="20"/>
                <w:lang w:eastAsia="en-US"/>
              </w:rPr>
            </w:pPr>
            <w:r w:rsidRPr="00003271">
              <w:rPr>
                <w:snapToGrid w:val="0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5A1AF" w14:textId="77777777" w:rsidR="005A77B5" w:rsidRPr="00003271" w:rsidRDefault="005A77B5">
            <w:pPr>
              <w:spacing w:line="25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003271">
              <w:rPr>
                <w:snapToGrid w:val="0"/>
                <w:sz w:val="20"/>
                <w:szCs w:val="20"/>
                <w:lang w:val="en-US" w:eastAsia="en-US"/>
              </w:rPr>
              <w:t>Podać</w:t>
            </w:r>
            <w:proofErr w:type="spellEnd"/>
            <w:r w:rsidRPr="00003271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03271">
              <w:rPr>
                <w:snapToGrid w:val="0"/>
                <w:sz w:val="20"/>
                <w:szCs w:val="20"/>
                <w:lang w:val="en-US" w:eastAsia="en-US"/>
              </w:rPr>
              <w:t>nazwę</w:t>
            </w:r>
            <w:proofErr w:type="spellEnd"/>
            <w:r w:rsidRPr="00003271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03271">
              <w:rPr>
                <w:snapToGrid w:val="0"/>
                <w:sz w:val="20"/>
                <w:szCs w:val="20"/>
                <w:lang w:val="en-US" w:eastAsia="en-US"/>
              </w:rPr>
              <w:t>producenta</w:t>
            </w:r>
            <w:proofErr w:type="spellEnd"/>
            <w:r w:rsidRPr="00003271">
              <w:rPr>
                <w:snapToGrid w:val="0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89609" w14:textId="77777777" w:rsidR="005A77B5" w:rsidRPr="00003271" w:rsidRDefault="005A77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8709A7B" w14:textId="77777777" w:rsidR="005A77B5" w:rsidRPr="00003271" w:rsidRDefault="005A77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A77B5" w14:paraId="4DC9565C" w14:textId="77777777" w:rsidTr="00367A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45CE2" w14:textId="77777777" w:rsidR="005A77B5" w:rsidRPr="00003271" w:rsidRDefault="005A77B5">
            <w:pPr>
              <w:spacing w:line="256" w:lineRule="auto"/>
              <w:ind w:left="-30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BF3EA" w14:textId="77777777" w:rsidR="005A77B5" w:rsidRPr="00003271" w:rsidRDefault="005A77B5">
            <w:pPr>
              <w:spacing w:line="256" w:lineRule="auto"/>
              <w:rPr>
                <w:snapToGrid w:val="0"/>
                <w:sz w:val="20"/>
                <w:szCs w:val="20"/>
                <w:lang w:eastAsia="en-US"/>
              </w:rPr>
            </w:pPr>
            <w:r w:rsidRPr="00003271">
              <w:rPr>
                <w:snapToGrid w:val="0"/>
                <w:sz w:val="20"/>
                <w:szCs w:val="20"/>
                <w:lang w:eastAsia="en-US"/>
              </w:rPr>
              <w:t>Model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91920" w14:textId="77777777" w:rsidR="005A77B5" w:rsidRPr="00003271" w:rsidRDefault="005A77B5">
            <w:pPr>
              <w:spacing w:line="25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003271">
              <w:rPr>
                <w:snapToGrid w:val="0"/>
                <w:sz w:val="20"/>
                <w:szCs w:val="20"/>
                <w:lang w:val="en-US" w:eastAsia="en-US"/>
              </w:rPr>
              <w:t>Podać</w:t>
            </w:r>
            <w:proofErr w:type="spellEnd"/>
            <w:r w:rsidRPr="00003271">
              <w:rPr>
                <w:snapToGrid w:val="0"/>
                <w:sz w:val="20"/>
                <w:szCs w:val="20"/>
                <w:lang w:val="en-US" w:eastAsia="en-US"/>
              </w:rPr>
              <w:t xml:space="preserve"> Model / </w:t>
            </w:r>
            <w:proofErr w:type="spellStart"/>
            <w:r w:rsidRPr="00003271">
              <w:rPr>
                <w:snapToGrid w:val="0"/>
                <w:sz w:val="20"/>
                <w:szCs w:val="20"/>
                <w:lang w:val="en-US" w:eastAsia="en-US"/>
              </w:rPr>
              <w:t>Typ</w:t>
            </w:r>
            <w:proofErr w:type="spellEnd"/>
            <w:r w:rsidRPr="00003271">
              <w:rPr>
                <w:snapToGrid w:val="0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5A52F" w14:textId="77777777" w:rsidR="005A77B5" w:rsidRPr="00003271" w:rsidRDefault="005A77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33EDDA1" w14:textId="77777777" w:rsidR="005A77B5" w:rsidRPr="00003271" w:rsidRDefault="005A77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A77B5" w14:paraId="35DCA9D3" w14:textId="77777777" w:rsidTr="00367A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F29A3" w14:textId="77777777" w:rsidR="005A77B5" w:rsidRPr="00003271" w:rsidRDefault="005A77B5">
            <w:pPr>
              <w:spacing w:line="256" w:lineRule="auto"/>
              <w:ind w:left="-30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D1235" w14:textId="77777777" w:rsidR="005A77B5" w:rsidRPr="00003271" w:rsidRDefault="005A77B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Obudowa</w:t>
            </w:r>
          </w:p>
        </w:tc>
        <w:tc>
          <w:tcPr>
            <w:tcW w:w="7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F1EB" w14:textId="5209CDCE" w:rsidR="005A77B5" w:rsidRPr="00003271" w:rsidRDefault="005A77B5" w:rsidP="0000327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3271">
              <w:rPr>
                <w:snapToGrid w:val="0"/>
                <w:sz w:val="20"/>
                <w:szCs w:val="20"/>
                <w:lang w:eastAsia="en-US"/>
              </w:rPr>
              <w:t xml:space="preserve">Obudowa </w:t>
            </w:r>
            <w:proofErr w:type="spellStart"/>
            <w:r w:rsidRPr="00003271">
              <w:rPr>
                <w:snapToGrid w:val="0"/>
                <w:sz w:val="20"/>
                <w:szCs w:val="20"/>
                <w:lang w:eastAsia="en-US"/>
              </w:rPr>
              <w:t>Rack</w:t>
            </w:r>
            <w:proofErr w:type="spellEnd"/>
            <w:r w:rsidRPr="00003271">
              <w:rPr>
                <w:snapToGrid w:val="0"/>
                <w:sz w:val="20"/>
                <w:szCs w:val="20"/>
                <w:lang w:eastAsia="en-US"/>
              </w:rPr>
              <w:t xml:space="preserve"> o wysokości </w:t>
            </w:r>
            <w:r w:rsidR="00883D90">
              <w:rPr>
                <w:snapToGrid w:val="0"/>
                <w:sz w:val="20"/>
                <w:szCs w:val="20"/>
                <w:lang w:eastAsia="en-US"/>
              </w:rPr>
              <w:t xml:space="preserve">min. </w:t>
            </w:r>
            <w:r w:rsidRPr="00003271">
              <w:rPr>
                <w:snapToGrid w:val="0"/>
                <w:sz w:val="20"/>
                <w:szCs w:val="20"/>
                <w:lang w:eastAsia="en-US"/>
              </w:rPr>
              <w:t xml:space="preserve">2U z możliwością instalacji </w:t>
            </w:r>
            <w:r w:rsidR="00712AF6">
              <w:rPr>
                <w:snapToGrid w:val="0"/>
                <w:sz w:val="20"/>
                <w:szCs w:val="20"/>
                <w:lang w:eastAsia="en-US"/>
              </w:rPr>
              <w:t xml:space="preserve">min. </w:t>
            </w:r>
            <w:r w:rsidRPr="00003271">
              <w:rPr>
                <w:snapToGrid w:val="0"/>
                <w:sz w:val="20"/>
                <w:szCs w:val="20"/>
                <w:lang w:eastAsia="en-US"/>
              </w:rPr>
              <w:t xml:space="preserve">8 dysków </w:t>
            </w:r>
            <w:r w:rsidRPr="004B6E18">
              <w:rPr>
                <w:snapToGrid w:val="0"/>
                <w:sz w:val="20"/>
                <w:szCs w:val="20"/>
                <w:lang w:eastAsia="en-US"/>
              </w:rPr>
              <w:t>3.5"</w:t>
            </w:r>
            <w:r w:rsidR="004B6E18">
              <w:rPr>
                <w:snapToGrid w:val="0"/>
                <w:sz w:val="20"/>
                <w:szCs w:val="20"/>
                <w:lang w:eastAsia="en-US"/>
              </w:rPr>
              <w:t xml:space="preserve"> lub 2.5” </w:t>
            </w:r>
            <w:r w:rsidRPr="00003271">
              <w:rPr>
                <w:snapToGrid w:val="0"/>
                <w:sz w:val="20"/>
                <w:szCs w:val="20"/>
                <w:lang w:eastAsia="en-US"/>
              </w:rPr>
              <w:t xml:space="preserve"> Hot-Plug wraz z </w:t>
            </w:r>
            <w:r w:rsidR="00003271" w:rsidRPr="00003271">
              <w:rPr>
                <w:snapToGrid w:val="0"/>
                <w:sz w:val="20"/>
                <w:szCs w:val="20"/>
                <w:lang w:eastAsia="en-US"/>
              </w:rPr>
              <w:t xml:space="preserve">organizatorem do kabli </w:t>
            </w:r>
            <w:r w:rsidR="00003271">
              <w:rPr>
                <w:snapToGrid w:val="0"/>
                <w:sz w:val="20"/>
                <w:szCs w:val="20"/>
                <w:lang w:eastAsia="en-US"/>
              </w:rPr>
              <w:t xml:space="preserve">oraz </w:t>
            </w:r>
            <w:r w:rsidRPr="00003271">
              <w:rPr>
                <w:snapToGrid w:val="0"/>
                <w:sz w:val="20"/>
                <w:szCs w:val="20"/>
                <w:lang w:eastAsia="en-US"/>
              </w:rPr>
              <w:t xml:space="preserve">kompletem szyn umożliwiających montaż w szafie </w:t>
            </w:r>
            <w:proofErr w:type="spellStart"/>
            <w:r w:rsidRPr="00003271">
              <w:rPr>
                <w:snapToGrid w:val="0"/>
                <w:sz w:val="20"/>
                <w:szCs w:val="20"/>
                <w:lang w:eastAsia="en-US"/>
              </w:rPr>
              <w:t>rack</w:t>
            </w:r>
            <w:proofErr w:type="spellEnd"/>
            <w:r w:rsidRPr="00003271">
              <w:rPr>
                <w:snapToGrid w:val="0"/>
                <w:sz w:val="20"/>
                <w:szCs w:val="20"/>
                <w:lang w:eastAsia="en-US"/>
              </w:rPr>
              <w:t xml:space="preserve"> i </w:t>
            </w:r>
            <w:r w:rsidR="00003271">
              <w:rPr>
                <w:snapToGrid w:val="0"/>
                <w:sz w:val="20"/>
                <w:szCs w:val="20"/>
                <w:lang w:eastAsia="en-US"/>
              </w:rPr>
              <w:t>wysunięcie</w:t>
            </w:r>
            <w:r w:rsidRPr="00003271">
              <w:rPr>
                <w:snapToGrid w:val="0"/>
                <w:sz w:val="20"/>
                <w:szCs w:val="20"/>
                <w:lang w:eastAsia="en-US"/>
              </w:rPr>
              <w:t xml:space="preserve"> serwera do celów serwisowych.</w:t>
            </w:r>
          </w:p>
        </w:tc>
      </w:tr>
      <w:tr w:rsidR="005A77B5" w14:paraId="0D5984EC" w14:textId="77777777" w:rsidTr="00367A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BDB3E" w14:textId="77777777" w:rsidR="005A77B5" w:rsidRPr="00003271" w:rsidRDefault="005A77B5">
            <w:pPr>
              <w:spacing w:line="256" w:lineRule="auto"/>
              <w:ind w:left="-30"/>
              <w:rPr>
                <w:sz w:val="20"/>
                <w:szCs w:val="20"/>
                <w:lang w:val="en-US" w:eastAsia="en-US"/>
              </w:rPr>
            </w:pPr>
            <w:r w:rsidRPr="00003271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6C053" w14:textId="77777777" w:rsidR="005A77B5" w:rsidRPr="00003271" w:rsidRDefault="005A77B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Płyta główna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B98FA" w14:textId="6B5D4720" w:rsidR="005A77B5" w:rsidRPr="00003271" w:rsidRDefault="005A77B5" w:rsidP="005A77B5">
            <w:pPr>
              <w:spacing w:line="256" w:lineRule="auto"/>
              <w:rPr>
                <w:snapToGrid w:val="0"/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 xml:space="preserve">Płyta główna z możliwością zainstalowania </w:t>
            </w:r>
            <w:r w:rsidR="00712AF6">
              <w:rPr>
                <w:sz w:val="20"/>
                <w:szCs w:val="20"/>
                <w:lang w:eastAsia="en-US"/>
              </w:rPr>
              <w:t>min.</w:t>
            </w:r>
            <w:r w:rsidRPr="00003271">
              <w:rPr>
                <w:sz w:val="20"/>
                <w:szCs w:val="20"/>
                <w:lang w:eastAsia="en-US"/>
              </w:rPr>
              <w:t xml:space="preserve"> dwóch procesorów.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8977F" w14:textId="77777777" w:rsidR="005A77B5" w:rsidRPr="00003271" w:rsidRDefault="005A77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E88B375" w14:textId="77777777" w:rsidR="005A77B5" w:rsidRPr="00003271" w:rsidRDefault="005A77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A77B5" w14:paraId="2F654DA2" w14:textId="77777777" w:rsidTr="00367A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CF720" w14:textId="77777777" w:rsidR="005A77B5" w:rsidRPr="00003271" w:rsidRDefault="005A77B5">
            <w:pPr>
              <w:spacing w:line="256" w:lineRule="auto"/>
              <w:ind w:left="-30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1529B" w14:textId="77777777" w:rsidR="005A77B5" w:rsidRPr="00003271" w:rsidRDefault="005A77B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Chipset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79F89" w14:textId="1CCA73C9" w:rsidR="005A77B5" w:rsidRPr="00003271" w:rsidRDefault="005A77B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 xml:space="preserve">Dedykowany przez producenta procesora do pracy w serwerach </w:t>
            </w:r>
            <w:r w:rsidR="00712AF6">
              <w:rPr>
                <w:sz w:val="20"/>
                <w:szCs w:val="20"/>
                <w:lang w:eastAsia="en-US"/>
              </w:rPr>
              <w:t xml:space="preserve">min. </w:t>
            </w:r>
            <w:r w:rsidRPr="00003271">
              <w:rPr>
                <w:sz w:val="20"/>
                <w:szCs w:val="20"/>
                <w:lang w:eastAsia="en-US"/>
              </w:rPr>
              <w:t>dwuprocesorowych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02069" w14:textId="77777777" w:rsidR="005A77B5" w:rsidRPr="00003271" w:rsidRDefault="005A77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0184D96" w14:textId="77777777" w:rsidR="005A77B5" w:rsidRPr="00003271" w:rsidRDefault="005A77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A77B5" w14:paraId="7108A650" w14:textId="77777777" w:rsidTr="00367A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00708" w14:textId="77777777" w:rsidR="005A77B5" w:rsidRPr="00003271" w:rsidRDefault="005A77B5" w:rsidP="000A471E">
            <w:pPr>
              <w:spacing w:line="256" w:lineRule="auto"/>
              <w:ind w:left="-8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AAD2C" w14:textId="77777777" w:rsidR="005A77B5" w:rsidRPr="00003271" w:rsidRDefault="005A77B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Procesor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0191" w14:textId="3317D330" w:rsidR="00066C80" w:rsidRPr="00003271" w:rsidRDefault="005A77B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Zainstalowane dwa procesory</w:t>
            </w:r>
            <w:r w:rsidR="00712AF6">
              <w:rPr>
                <w:sz w:val="20"/>
                <w:szCs w:val="20"/>
                <w:lang w:eastAsia="en-US"/>
              </w:rPr>
              <w:t xml:space="preserve"> </w:t>
            </w:r>
            <w:r w:rsidRPr="00003271">
              <w:rPr>
                <w:sz w:val="20"/>
                <w:szCs w:val="20"/>
                <w:lang w:eastAsia="en-US"/>
              </w:rPr>
              <w:t>ośmiordzeniowe klasy x86, dedykowane do pracy z zaoferowanym serwerem</w:t>
            </w:r>
            <w:r w:rsidR="00003271">
              <w:rPr>
                <w:sz w:val="20"/>
                <w:szCs w:val="20"/>
                <w:lang w:eastAsia="en-US"/>
              </w:rPr>
              <w:t>,</w:t>
            </w:r>
            <w:r w:rsidRPr="00003271">
              <w:rPr>
                <w:sz w:val="20"/>
                <w:szCs w:val="20"/>
                <w:lang w:eastAsia="en-US"/>
              </w:rPr>
              <w:t xml:space="preserve"> umożliwiające osiągnięcie wyniku min. 72 w teście SPECrate2017_int_base dostępnym na stronie www.spec.org dla </w:t>
            </w:r>
            <w:r w:rsidR="00712AF6">
              <w:rPr>
                <w:sz w:val="20"/>
                <w:szCs w:val="20"/>
                <w:lang w:eastAsia="en-US"/>
              </w:rPr>
              <w:t>oferowanej liczby</w:t>
            </w:r>
            <w:r w:rsidRPr="00003271">
              <w:rPr>
                <w:sz w:val="20"/>
                <w:szCs w:val="20"/>
                <w:lang w:eastAsia="en-US"/>
              </w:rPr>
              <w:t xml:space="preserve"> procesorów.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E0452" w14:textId="77777777" w:rsidR="005A77B5" w:rsidRPr="00003271" w:rsidRDefault="005A77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A77B5" w14:paraId="0FF2C430" w14:textId="77777777" w:rsidTr="00367A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133CF" w14:textId="77777777" w:rsidR="005A77B5" w:rsidRPr="00003271" w:rsidRDefault="005A77B5">
            <w:pPr>
              <w:spacing w:line="256" w:lineRule="auto"/>
              <w:ind w:left="-30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8A02" w14:textId="77777777" w:rsidR="005A77B5" w:rsidRPr="00003271" w:rsidRDefault="005A77B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RAM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214D" w14:textId="77777777" w:rsidR="005A77B5" w:rsidRPr="00003271" w:rsidRDefault="005A77B5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003271">
              <w:rPr>
                <w:sz w:val="20"/>
                <w:szCs w:val="20"/>
                <w:lang w:val="en-US" w:eastAsia="en-US"/>
              </w:rPr>
              <w:t xml:space="preserve">512GB DDR4 RDIMM 2666MT/s, </w:t>
            </w:r>
          </w:p>
          <w:p w14:paraId="29AE781E" w14:textId="6DB844E6" w:rsidR="005A77B5" w:rsidRPr="00003271" w:rsidRDefault="005A77B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 xml:space="preserve">na płycie głównej powinno znajdować się minimum </w:t>
            </w:r>
            <w:r w:rsidR="00333618">
              <w:rPr>
                <w:sz w:val="20"/>
                <w:szCs w:val="20"/>
                <w:lang w:eastAsia="en-US"/>
              </w:rPr>
              <w:t>12</w:t>
            </w:r>
            <w:r w:rsidRPr="00003271">
              <w:rPr>
                <w:sz w:val="20"/>
                <w:szCs w:val="20"/>
                <w:lang w:eastAsia="en-US"/>
              </w:rPr>
              <w:t xml:space="preserve"> slotów przeznaczonych do instalacji pamięci.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2D504" w14:textId="77777777" w:rsidR="005A77B5" w:rsidRPr="00003271" w:rsidRDefault="005A77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54196" w:rsidRPr="00F0753A" w14:paraId="59B63555" w14:textId="77777777" w:rsidTr="00367A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D0EB8" w14:textId="77777777" w:rsidR="00254196" w:rsidRPr="00003271" w:rsidRDefault="00254196" w:rsidP="00254196">
            <w:pPr>
              <w:spacing w:line="256" w:lineRule="auto"/>
              <w:ind w:left="-30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F9D9F" w14:textId="286D2D56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Zabezpieczenia pamięci RAM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199A6" w14:textId="77777777" w:rsidR="00254196" w:rsidRPr="00F0753A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Min. 2 z w</w:t>
            </w:r>
            <w:r w:rsidRPr="00F0753A">
              <w:rPr>
                <w:sz w:val="20"/>
                <w:szCs w:val="20"/>
                <w:lang w:eastAsia="en-US"/>
              </w:rPr>
              <w:t>ymienion</w:t>
            </w:r>
            <w:r>
              <w:rPr>
                <w:sz w:val="20"/>
                <w:szCs w:val="20"/>
                <w:lang w:eastAsia="en-US"/>
              </w:rPr>
              <w:t>ych</w:t>
            </w:r>
            <w:r w:rsidRPr="00F0753A">
              <w:rPr>
                <w:sz w:val="20"/>
                <w:szCs w:val="20"/>
                <w:lang w:eastAsia="en-US"/>
              </w:rPr>
              <w:t xml:space="preserve"> mechaniz</w:t>
            </w:r>
            <w:r>
              <w:rPr>
                <w:sz w:val="20"/>
                <w:szCs w:val="20"/>
                <w:lang w:eastAsia="en-US"/>
              </w:rPr>
              <w:t>mów zabezpieczających</w:t>
            </w:r>
            <w:r w:rsidRPr="00F0753A">
              <w:rPr>
                <w:sz w:val="20"/>
                <w:szCs w:val="20"/>
                <w:lang w:eastAsia="en-US"/>
              </w:rPr>
              <w:t xml:space="preserve">: Memory </w:t>
            </w:r>
            <w:proofErr w:type="spellStart"/>
            <w:r w:rsidRPr="00F0753A">
              <w:rPr>
                <w:sz w:val="20"/>
                <w:szCs w:val="20"/>
                <w:lang w:eastAsia="en-US"/>
              </w:rPr>
              <w:t>Rank</w:t>
            </w:r>
            <w:proofErr w:type="spellEnd"/>
            <w:r w:rsidRPr="00F0753A">
              <w:rPr>
                <w:sz w:val="20"/>
                <w:szCs w:val="20"/>
                <w:lang w:eastAsia="en-US"/>
              </w:rPr>
              <w:t xml:space="preserve"> Sparing, Memory Mirror, </w:t>
            </w:r>
            <w:proofErr w:type="spellStart"/>
            <w:r w:rsidRPr="00F0753A">
              <w:rPr>
                <w:sz w:val="20"/>
                <w:szCs w:val="20"/>
                <w:lang w:eastAsia="en-US"/>
              </w:rPr>
              <w:t>Failed</w:t>
            </w:r>
            <w:proofErr w:type="spellEnd"/>
            <w:r w:rsidRPr="00F0753A">
              <w:rPr>
                <w:sz w:val="20"/>
                <w:szCs w:val="20"/>
                <w:lang w:eastAsia="en-US"/>
              </w:rPr>
              <w:t xml:space="preserve"> DIMM </w:t>
            </w:r>
            <w:proofErr w:type="spellStart"/>
            <w:r w:rsidRPr="00F0753A">
              <w:rPr>
                <w:sz w:val="20"/>
                <w:szCs w:val="20"/>
                <w:lang w:eastAsia="en-US"/>
              </w:rPr>
              <w:t>isolation</w:t>
            </w:r>
            <w:proofErr w:type="spellEnd"/>
            <w:r w:rsidRPr="00F0753A">
              <w:rPr>
                <w:sz w:val="20"/>
                <w:szCs w:val="20"/>
                <w:lang w:eastAsia="en-US"/>
              </w:rPr>
              <w:t xml:space="preserve">, Memory </w:t>
            </w:r>
            <w:proofErr w:type="spellStart"/>
            <w:r w:rsidRPr="00F0753A">
              <w:rPr>
                <w:sz w:val="20"/>
                <w:szCs w:val="20"/>
                <w:lang w:eastAsia="en-US"/>
              </w:rPr>
              <w:t>Address</w:t>
            </w:r>
            <w:proofErr w:type="spellEnd"/>
            <w:r w:rsidRPr="00F0753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0753A">
              <w:rPr>
                <w:sz w:val="20"/>
                <w:szCs w:val="20"/>
                <w:lang w:eastAsia="en-US"/>
              </w:rPr>
              <w:t>Parity</w:t>
            </w:r>
            <w:proofErr w:type="spellEnd"/>
            <w:r w:rsidRPr="00F0753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0753A">
              <w:rPr>
                <w:sz w:val="20"/>
                <w:szCs w:val="20"/>
                <w:lang w:eastAsia="en-US"/>
              </w:rPr>
              <w:t>Protection</w:t>
            </w:r>
            <w:proofErr w:type="spellEnd"/>
            <w:r w:rsidRPr="00F0753A">
              <w:rPr>
                <w:sz w:val="20"/>
                <w:szCs w:val="20"/>
                <w:lang w:eastAsia="en-US"/>
              </w:rPr>
              <w:t xml:space="preserve">, Memory </w:t>
            </w:r>
            <w:proofErr w:type="spellStart"/>
            <w:r w:rsidRPr="00F0753A">
              <w:rPr>
                <w:sz w:val="20"/>
                <w:szCs w:val="20"/>
                <w:lang w:eastAsia="en-US"/>
              </w:rPr>
              <w:t>Thermal</w:t>
            </w:r>
            <w:proofErr w:type="spellEnd"/>
            <w:r w:rsidRPr="00F0753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0753A">
              <w:rPr>
                <w:sz w:val="20"/>
                <w:szCs w:val="20"/>
                <w:lang w:eastAsia="en-US"/>
              </w:rPr>
              <w:t>Throttling</w:t>
            </w:r>
            <w:proofErr w:type="spellEnd"/>
            <w:r w:rsidRPr="00F0753A">
              <w:rPr>
                <w:sz w:val="20"/>
                <w:szCs w:val="20"/>
                <w:lang w:eastAsia="en-US"/>
              </w:rPr>
              <w:t xml:space="preserve"> lub równoważn</w:t>
            </w:r>
            <w:r>
              <w:rPr>
                <w:sz w:val="20"/>
                <w:szCs w:val="20"/>
                <w:lang w:eastAsia="en-US"/>
              </w:rPr>
              <w:t>ych</w:t>
            </w:r>
            <w:r w:rsidRPr="00F0753A">
              <w:rPr>
                <w:sz w:val="20"/>
                <w:szCs w:val="20"/>
                <w:lang w:eastAsia="en-US"/>
              </w:rPr>
              <w:t xml:space="preserve"> zapewniając</w:t>
            </w:r>
            <w:r>
              <w:rPr>
                <w:sz w:val="20"/>
                <w:szCs w:val="20"/>
                <w:lang w:eastAsia="en-US"/>
              </w:rPr>
              <w:t>ych</w:t>
            </w:r>
            <w:r w:rsidRPr="00F0753A">
              <w:rPr>
                <w:sz w:val="20"/>
                <w:szCs w:val="20"/>
                <w:lang w:eastAsia="en-US"/>
              </w:rPr>
              <w:t xml:space="preserve"> nie gorszy poziom bezpieczeństwa.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AC55" w14:textId="7C1A3AAF" w:rsidR="00254196" w:rsidRPr="00F0753A" w:rsidRDefault="00254196" w:rsidP="0025419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4196" w14:paraId="3612A1F5" w14:textId="77777777" w:rsidTr="00367A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8F2D8" w14:textId="77777777" w:rsidR="00254196" w:rsidRPr="00003271" w:rsidRDefault="00254196" w:rsidP="00254196">
            <w:pPr>
              <w:spacing w:line="256" w:lineRule="auto"/>
              <w:ind w:left="-30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10B3" w14:textId="77777777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Interfejsy sieciowe/FC/SAS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80C3" w14:textId="734F2698" w:rsidR="00254196" w:rsidRPr="00883D90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883D90">
              <w:rPr>
                <w:sz w:val="20"/>
                <w:szCs w:val="20"/>
                <w:lang w:eastAsia="en-US"/>
              </w:rPr>
              <w:t xml:space="preserve">6 interfejsów sieciowych 1GbE RJ45 w standardzie </w:t>
            </w:r>
            <w:proofErr w:type="spellStart"/>
            <w:r w:rsidRPr="00883D90">
              <w:rPr>
                <w:sz w:val="20"/>
                <w:szCs w:val="20"/>
                <w:lang w:eastAsia="en-US"/>
              </w:rPr>
              <w:t>BaseT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14:paraId="224BA4B6" w14:textId="1B8BAC02" w:rsidR="00254196" w:rsidRPr="004D0244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D0244">
              <w:rPr>
                <w:sz w:val="20"/>
                <w:szCs w:val="20"/>
                <w:lang w:eastAsia="en-US"/>
              </w:rPr>
              <w:t>oraz</w:t>
            </w:r>
          </w:p>
          <w:p w14:paraId="40E7FF7E" w14:textId="545A3528" w:rsidR="00254196" w:rsidRPr="00212A36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12A36">
              <w:rPr>
                <w:sz w:val="20"/>
                <w:szCs w:val="20"/>
                <w:lang w:eastAsia="en-US"/>
              </w:rPr>
              <w:t xml:space="preserve">8 interfejsów 10GbE SFP+ wraz z wkładkami SFP+, 10GbE, </w:t>
            </w:r>
            <w:proofErr w:type="spellStart"/>
            <w:r w:rsidRPr="00212A36">
              <w:rPr>
                <w:sz w:val="20"/>
                <w:szCs w:val="20"/>
                <w:lang w:eastAsia="en-US"/>
              </w:rPr>
              <w:t>multimode</w:t>
            </w:r>
            <w:proofErr w:type="spellEnd"/>
            <w:r w:rsidRPr="00212A36">
              <w:rPr>
                <w:sz w:val="20"/>
                <w:szCs w:val="20"/>
                <w:lang w:eastAsia="en-US"/>
              </w:rPr>
              <w:t>, 850nm, 300m, LC.</w:t>
            </w:r>
          </w:p>
          <w:p w14:paraId="1F41667B" w14:textId="0836907D" w:rsidR="00254196" w:rsidRPr="004D0244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D0244">
              <w:rPr>
                <w:sz w:val="20"/>
                <w:szCs w:val="20"/>
                <w:lang w:eastAsia="en-US"/>
              </w:rPr>
              <w:t>oraz</w:t>
            </w:r>
          </w:p>
          <w:p w14:paraId="2B055121" w14:textId="1CFC8914" w:rsidR="00254196" w:rsidRPr="00A30F4E" w:rsidRDefault="00254196" w:rsidP="00254196">
            <w:pPr>
              <w:spacing w:line="256" w:lineRule="auto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porty</w:t>
            </w:r>
            <w:r w:rsidRPr="001D7D12">
              <w:rPr>
                <w:sz w:val="20"/>
                <w:szCs w:val="20"/>
                <w:lang w:eastAsia="en-US"/>
              </w:rPr>
              <w:t xml:space="preserve"> HBA FC16Gb/s z interfejsem LC.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62DAB" w14:textId="77777777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54196" w14:paraId="71DC9D40" w14:textId="77777777" w:rsidTr="00367A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0D9F" w14:textId="77777777" w:rsidR="00254196" w:rsidRPr="00003271" w:rsidRDefault="00254196" w:rsidP="00254196">
            <w:pPr>
              <w:spacing w:line="256" w:lineRule="auto"/>
              <w:ind w:left="-30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34988" w14:textId="77777777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03271">
              <w:rPr>
                <w:sz w:val="20"/>
                <w:szCs w:val="20"/>
                <w:lang w:eastAsia="en-US"/>
              </w:rPr>
              <w:t>Sloty</w:t>
            </w:r>
            <w:proofErr w:type="spellEnd"/>
            <w:r w:rsidRPr="0000327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03271">
              <w:rPr>
                <w:sz w:val="20"/>
                <w:szCs w:val="20"/>
                <w:lang w:eastAsia="en-US"/>
              </w:rPr>
              <w:t>PCIe</w:t>
            </w:r>
            <w:proofErr w:type="spellEnd"/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8A5CC" w14:textId="77777777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 xml:space="preserve">Min. 5 slotów </w:t>
            </w:r>
            <w:proofErr w:type="spellStart"/>
            <w:r w:rsidRPr="00003271">
              <w:rPr>
                <w:sz w:val="20"/>
                <w:szCs w:val="20"/>
                <w:lang w:eastAsia="en-US"/>
              </w:rPr>
              <w:t>PCIe</w:t>
            </w:r>
            <w:proofErr w:type="spellEnd"/>
            <w:r w:rsidRPr="00003271">
              <w:rPr>
                <w:sz w:val="20"/>
                <w:szCs w:val="20"/>
                <w:lang w:eastAsia="en-US"/>
              </w:rPr>
              <w:t xml:space="preserve"> generacji 3</w:t>
            </w:r>
          </w:p>
          <w:p w14:paraId="536D5036" w14:textId="77777777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AFDF0" w14:textId="77777777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54196" w14:paraId="3452F562" w14:textId="77777777" w:rsidTr="00367A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9A1E0" w14:textId="7679A1AD" w:rsidR="00254196" w:rsidRPr="00003271" w:rsidRDefault="00254196" w:rsidP="00254196">
            <w:pPr>
              <w:spacing w:line="256" w:lineRule="auto"/>
              <w:ind w:left="-30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11</w:t>
            </w:r>
            <w:r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3F182" w14:textId="77777777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Dyski twarde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4C79E" w14:textId="77777777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 xml:space="preserve">Możliwość instalacji dysków SATA, SAS, SSD, </w:t>
            </w:r>
            <w:proofErr w:type="spellStart"/>
            <w:r w:rsidRPr="00003271">
              <w:rPr>
                <w:sz w:val="20"/>
                <w:szCs w:val="20"/>
                <w:lang w:eastAsia="en-US"/>
              </w:rPr>
              <w:t>NVMe</w:t>
            </w:r>
            <w:proofErr w:type="spellEnd"/>
            <w:r w:rsidRPr="00003271">
              <w:rPr>
                <w:sz w:val="20"/>
                <w:szCs w:val="20"/>
                <w:lang w:eastAsia="en-US"/>
              </w:rPr>
              <w:t>.</w:t>
            </w:r>
          </w:p>
          <w:p w14:paraId="3C0AC580" w14:textId="77777777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795D2" w14:textId="77777777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Zainstalowane dyski:</w:t>
            </w:r>
          </w:p>
          <w:p w14:paraId="494B565B" w14:textId="7E36ACFC" w:rsidR="00254196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A4946">
              <w:rPr>
                <w:sz w:val="20"/>
                <w:szCs w:val="20"/>
                <w:lang w:eastAsia="en-US"/>
              </w:rPr>
              <w:t>3x600GB SAS 12Gb/s Hot-Plug 3,5” lub 2,5”</w:t>
            </w:r>
          </w:p>
          <w:p w14:paraId="6A3CBC52" w14:textId="739BAD4E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178C5" w14:textId="77777777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54196" w14:paraId="642F3685" w14:textId="77777777" w:rsidTr="00367A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14D5" w14:textId="623716FC" w:rsidR="00254196" w:rsidRPr="00003271" w:rsidRDefault="00254196" w:rsidP="00254196">
            <w:pPr>
              <w:spacing w:line="256" w:lineRule="auto"/>
              <w:ind w:left="-3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11b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DEA9" w14:textId="77777777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5C479" w14:textId="4D0F7D85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Zainstalowany </w:t>
            </w:r>
            <w:r w:rsidRPr="00003271">
              <w:rPr>
                <w:sz w:val="20"/>
                <w:szCs w:val="20"/>
                <w:lang w:eastAsia="en-US"/>
              </w:rPr>
              <w:t>moduł dedykowan</w:t>
            </w:r>
            <w:r>
              <w:rPr>
                <w:sz w:val="20"/>
                <w:szCs w:val="20"/>
                <w:lang w:eastAsia="en-US"/>
              </w:rPr>
              <w:t>y</w:t>
            </w:r>
            <w:r w:rsidRPr="00003271">
              <w:rPr>
                <w:sz w:val="20"/>
                <w:szCs w:val="20"/>
                <w:lang w:eastAsia="en-US"/>
              </w:rPr>
              <w:t xml:space="preserve"> dla </w:t>
            </w:r>
            <w:proofErr w:type="spellStart"/>
            <w:r w:rsidRPr="00003271">
              <w:rPr>
                <w:sz w:val="20"/>
                <w:szCs w:val="20"/>
                <w:lang w:eastAsia="en-US"/>
              </w:rPr>
              <w:t>hypervisora</w:t>
            </w:r>
            <w:proofErr w:type="spellEnd"/>
            <w:r w:rsidRPr="0000327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03271">
              <w:rPr>
                <w:sz w:val="20"/>
                <w:szCs w:val="20"/>
                <w:lang w:eastAsia="en-US"/>
              </w:rPr>
              <w:t>wirtualizacyjnego</w:t>
            </w:r>
            <w:proofErr w:type="spellEnd"/>
            <w:r w:rsidRPr="00003271">
              <w:rPr>
                <w:sz w:val="20"/>
                <w:szCs w:val="20"/>
                <w:lang w:eastAsia="en-US"/>
              </w:rPr>
              <w:t>, wyposażon</w:t>
            </w:r>
            <w:r>
              <w:rPr>
                <w:sz w:val="20"/>
                <w:szCs w:val="20"/>
                <w:lang w:eastAsia="en-US"/>
              </w:rPr>
              <w:t>y</w:t>
            </w:r>
            <w:r w:rsidRPr="00003271">
              <w:rPr>
                <w:sz w:val="20"/>
                <w:szCs w:val="20"/>
                <w:lang w:eastAsia="en-US"/>
              </w:rPr>
              <w:t xml:space="preserve"> w dwa nośniki typu </w:t>
            </w:r>
            <w:proofErr w:type="spellStart"/>
            <w:r w:rsidRPr="00003271">
              <w:rPr>
                <w:sz w:val="20"/>
                <w:szCs w:val="20"/>
                <w:lang w:eastAsia="en-US"/>
              </w:rPr>
              <w:t>flash</w:t>
            </w:r>
            <w:proofErr w:type="spellEnd"/>
            <w:r w:rsidRPr="00003271">
              <w:rPr>
                <w:sz w:val="20"/>
                <w:szCs w:val="20"/>
                <w:lang w:eastAsia="en-US"/>
              </w:rPr>
              <w:t xml:space="preserve"> o pojemności min. 32GB, rozwiązanie nie może powodować zmniejszenia ilości wnęk na dyski twarde.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28F68" w14:textId="77777777" w:rsidR="00254196" w:rsidRDefault="00254196" w:rsidP="0025419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  /  NIE</w:t>
            </w:r>
          </w:p>
          <w:p w14:paraId="648F2FF2" w14:textId="79C365B3" w:rsidR="00254196" w:rsidRPr="00003271" w:rsidRDefault="00254196" w:rsidP="0025419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4607">
              <w:rPr>
                <w:sz w:val="14"/>
                <w:szCs w:val="14"/>
                <w:lang w:eastAsia="en-US"/>
              </w:rPr>
              <w:t>Zaznaczyć właściwe</w:t>
            </w:r>
          </w:p>
        </w:tc>
      </w:tr>
      <w:tr w:rsidR="00254196" w14:paraId="064F2599" w14:textId="77777777" w:rsidTr="00367A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C85F1" w14:textId="77777777" w:rsidR="00254196" w:rsidRPr="00003271" w:rsidRDefault="00254196" w:rsidP="00254196">
            <w:pPr>
              <w:spacing w:line="256" w:lineRule="auto"/>
              <w:ind w:left="-30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B6A7C" w14:textId="77777777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Napęd optyczny</w:t>
            </w:r>
          </w:p>
        </w:tc>
        <w:tc>
          <w:tcPr>
            <w:tcW w:w="7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74026" w14:textId="229381D1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Wbudowany napęd DVD +/- RW</w:t>
            </w:r>
          </w:p>
          <w:p w14:paraId="300135EC" w14:textId="77777777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A2B61" w14:textId="77777777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54196" w14:paraId="44F77340" w14:textId="77777777" w:rsidTr="00367A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20DA4" w14:textId="77777777" w:rsidR="00254196" w:rsidRPr="00003271" w:rsidRDefault="00254196" w:rsidP="00254196">
            <w:pPr>
              <w:spacing w:line="256" w:lineRule="auto"/>
              <w:ind w:left="-30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202C0" w14:textId="77777777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Kontroler RAID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06619" w14:textId="77777777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 xml:space="preserve">Sprzętowy kontroler dyskowy posiadający min. 2GB nieulotnej pamięci cache, </w:t>
            </w:r>
            <w:r w:rsidRPr="00003271">
              <w:rPr>
                <w:sz w:val="20"/>
                <w:szCs w:val="20"/>
                <w:lang w:eastAsia="en-US"/>
              </w:rPr>
              <w:lastRenderedPageBreak/>
              <w:t>umożliwiający konfigurację poziomów RAID: 0, 1, 5, 6, 10, 50, 60.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9D1EF" w14:textId="77777777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54196" w14:paraId="4BEFE7DF" w14:textId="77777777" w:rsidTr="00367A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D2548" w14:textId="77777777" w:rsidR="00254196" w:rsidRPr="00003271" w:rsidRDefault="00254196" w:rsidP="00254196">
            <w:pPr>
              <w:spacing w:line="256" w:lineRule="auto"/>
              <w:ind w:left="-30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C337D" w14:textId="77777777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Wbudowane porty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037AC" w14:textId="3EAB3EE5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Przednie: min. 1x USB 2.0,</w:t>
            </w:r>
          </w:p>
          <w:p w14:paraId="19C93286" w14:textId="56A402DD" w:rsidR="00254196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Tylne: min. 1x VGA, min. 2x USB 3.0</w:t>
            </w:r>
          </w:p>
          <w:p w14:paraId="4BE15F1B" w14:textId="471692C8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A7324" w14:textId="77777777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54196" w14:paraId="377815F4" w14:textId="77777777" w:rsidTr="00367A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F2DE7" w14:textId="77777777" w:rsidR="00254196" w:rsidRPr="00003271" w:rsidRDefault="00254196" w:rsidP="00254196">
            <w:pPr>
              <w:spacing w:line="256" w:lineRule="auto"/>
              <w:ind w:left="-30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0D33A" w14:textId="77777777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Video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DD089" w14:textId="77777777" w:rsidR="00254196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Zintegrowana karta graficzna</w:t>
            </w:r>
          </w:p>
          <w:p w14:paraId="10A44FE2" w14:textId="41D11134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955AA" w14:textId="77777777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54196" w14:paraId="6BE21DEA" w14:textId="77777777" w:rsidTr="00367A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F827" w14:textId="2940BDB4" w:rsidR="00254196" w:rsidRPr="00003271" w:rsidRDefault="00254196" w:rsidP="00254196">
            <w:pPr>
              <w:spacing w:line="256" w:lineRule="auto"/>
              <w:ind w:left="-30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2A0B9" w14:textId="77777777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Wentylatory</w:t>
            </w:r>
          </w:p>
        </w:tc>
        <w:tc>
          <w:tcPr>
            <w:tcW w:w="7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68850" w14:textId="235CC70B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Redundantne</w:t>
            </w:r>
          </w:p>
          <w:p w14:paraId="394CADEA" w14:textId="77777777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8B8B0" w14:textId="493EAED9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54196" w14:paraId="2FACE514" w14:textId="77777777" w:rsidTr="00367A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27C03" w14:textId="13A17C18" w:rsidR="00254196" w:rsidRPr="00003271" w:rsidRDefault="00254196" w:rsidP="00254196">
            <w:pPr>
              <w:spacing w:line="256" w:lineRule="auto"/>
              <w:ind w:left="-30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C6F68" w14:textId="0D4396D4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Wbudowane z</w:t>
            </w:r>
            <w:r w:rsidRPr="00003271">
              <w:rPr>
                <w:sz w:val="20"/>
                <w:szCs w:val="20"/>
                <w:lang w:eastAsia="en-US"/>
              </w:rPr>
              <w:t>asilacze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ACD56" w14:textId="424D77AD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 xml:space="preserve">Redundantne, </w:t>
            </w:r>
            <w:r>
              <w:rPr>
                <w:sz w:val="20"/>
                <w:szCs w:val="20"/>
                <w:lang w:eastAsia="en-US"/>
              </w:rPr>
              <w:t xml:space="preserve">2x </w:t>
            </w:r>
            <w:r w:rsidRPr="00003271">
              <w:rPr>
                <w:sz w:val="20"/>
                <w:szCs w:val="20"/>
                <w:lang w:eastAsia="en-US"/>
              </w:rPr>
              <w:t>Hot-Plug</w:t>
            </w:r>
            <w:r>
              <w:rPr>
                <w:sz w:val="20"/>
                <w:szCs w:val="20"/>
                <w:lang w:eastAsia="en-US"/>
              </w:rPr>
              <w:t xml:space="preserve"> min.</w:t>
            </w:r>
            <w:r w:rsidRPr="00003271">
              <w:rPr>
                <w:sz w:val="20"/>
                <w:szCs w:val="20"/>
                <w:lang w:eastAsia="en-US"/>
              </w:rPr>
              <w:t xml:space="preserve"> 750W każdy z dedykowanymi przewodami zasilającymi.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42CF1" w14:textId="77777777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54196" w14:paraId="39E6840C" w14:textId="77777777" w:rsidTr="00367A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CC135" w14:textId="6DE24064" w:rsidR="00254196" w:rsidRPr="00003271" w:rsidRDefault="00254196" w:rsidP="00254196">
            <w:pPr>
              <w:spacing w:line="256" w:lineRule="auto"/>
              <w:ind w:left="-3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D97C" w14:textId="77777777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Karta Zarządzania</w:t>
            </w:r>
          </w:p>
        </w:tc>
        <w:tc>
          <w:tcPr>
            <w:tcW w:w="7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02B9C" w14:textId="77777777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Niezależna od zainstalowanego na serwerze systemu operacyjnego posiadająca dedykowany port Gigabit Ethernet RJ-45 i umożliwiająca:</w:t>
            </w:r>
          </w:p>
          <w:p w14:paraId="02E5D70B" w14:textId="77777777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- zdalny dostęp do graficznego interfejsu Web karty zarządzającej;</w:t>
            </w:r>
          </w:p>
          <w:p w14:paraId="46776C88" w14:textId="77777777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- zdalne monitorowanie i informowanie o statusie serwera (m.in. prędkości obrotowej wentylatorów, konfiguracji serwera);</w:t>
            </w:r>
          </w:p>
          <w:p w14:paraId="6E8B6556" w14:textId="77777777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- szyfrowane połączenie (TLS) oraz autentykacje i autoryzację użytkownika;</w:t>
            </w:r>
          </w:p>
          <w:p w14:paraId="74BB9378" w14:textId="77777777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- możliwość podmontowania zdalnych wirtualnych napędów;</w:t>
            </w:r>
          </w:p>
          <w:p w14:paraId="5B154CEA" w14:textId="77777777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- wirtualną konsolę z dostępem do myszy, klawiatury;</w:t>
            </w:r>
          </w:p>
          <w:p w14:paraId="0D75D2D9" w14:textId="005ED214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>zastosowanie</w:t>
            </w:r>
            <w:r w:rsidRPr="00003271">
              <w:rPr>
                <w:sz w:val="20"/>
                <w:szCs w:val="20"/>
                <w:lang w:eastAsia="en-US"/>
              </w:rPr>
              <w:t xml:space="preserve"> wtyczk</w:t>
            </w:r>
            <w:r>
              <w:rPr>
                <w:sz w:val="20"/>
                <w:szCs w:val="20"/>
                <w:lang w:eastAsia="en-US"/>
              </w:rPr>
              <w:t>i</w:t>
            </w:r>
            <w:r w:rsidRPr="00003271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003271">
              <w:rPr>
                <w:sz w:val="20"/>
                <w:szCs w:val="20"/>
                <w:lang w:eastAsia="en-US"/>
              </w:rPr>
              <w:t>plugin</w:t>
            </w:r>
            <w:proofErr w:type="spellEnd"/>
            <w:r w:rsidRPr="00003271">
              <w:rPr>
                <w:sz w:val="20"/>
                <w:szCs w:val="20"/>
                <w:lang w:eastAsia="en-US"/>
              </w:rPr>
              <w:t>) wykorzysując</w:t>
            </w:r>
            <w:r>
              <w:rPr>
                <w:sz w:val="20"/>
                <w:szCs w:val="20"/>
                <w:lang w:eastAsia="en-US"/>
              </w:rPr>
              <w:t>ej</w:t>
            </w:r>
            <w:r w:rsidRPr="00003271">
              <w:rPr>
                <w:sz w:val="20"/>
                <w:szCs w:val="20"/>
                <w:lang w:eastAsia="en-US"/>
              </w:rPr>
              <w:t xml:space="preserve"> standard SNMP do komunikacji z serwerem monitorującym </w:t>
            </w:r>
            <w:proofErr w:type="spellStart"/>
            <w:r w:rsidRPr="00003271">
              <w:rPr>
                <w:sz w:val="20"/>
                <w:szCs w:val="20"/>
                <w:lang w:eastAsia="en-US"/>
              </w:rPr>
              <w:t>Nagios</w:t>
            </w:r>
            <w:proofErr w:type="spellEnd"/>
            <w:r w:rsidRPr="00003271">
              <w:rPr>
                <w:sz w:val="20"/>
                <w:szCs w:val="20"/>
                <w:lang w:eastAsia="en-US"/>
              </w:rPr>
              <w:t>, wtyczka musi być dostępn</w:t>
            </w:r>
            <w:r>
              <w:rPr>
                <w:sz w:val="20"/>
                <w:szCs w:val="20"/>
                <w:lang w:eastAsia="en-US"/>
              </w:rPr>
              <w:t>a</w:t>
            </w:r>
            <w:r w:rsidRPr="00003271">
              <w:rPr>
                <w:sz w:val="20"/>
                <w:szCs w:val="20"/>
                <w:lang w:eastAsia="en-US"/>
              </w:rPr>
              <w:t xml:space="preserve"> do pobrania na stronie </w:t>
            </w:r>
            <w:hyperlink r:id="rId9" w:history="1">
              <w:r w:rsidRPr="00003271">
                <w:rPr>
                  <w:rStyle w:val="Hipercze"/>
                  <w:rFonts w:eastAsiaTheme="majorEastAsia"/>
                  <w:sz w:val="20"/>
                  <w:szCs w:val="20"/>
                  <w:lang w:eastAsia="en-US"/>
                </w:rPr>
                <w:t>https://exchange.nagios.org/directory/Plugins</w:t>
              </w:r>
            </w:hyperlink>
            <w:r w:rsidRPr="00003271">
              <w:rPr>
                <w:sz w:val="20"/>
                <w:szCs w:val="20"/>
                <w:lang w:eastAsia="en-US"/>
              </w:rPr>
              <w:t xml:space="preserve"> lub dostarczona na nośniku i </w:t>
            </w:r>
            <w:r>
              <w:rPr>
                <w:sz w:val="20"/>
                <w:szCs w:val="20"/>
                <w:lang w:eastAsia="en-US"/>
              </w:rPr>
              <w:t xml:space="preserve">musi </w:t>
            </w:r>
            <w:r w:rsidRPr="00003271">
              <w:rPr>
                <w:sz w:val="20"/>
                <w:szCs w:val="20"/>
                <w:lang w:eastAsia="en-US"/>
              </w:rPr>
              <w:t>zapewniać minimum monitorowanie stanu serwera i alertów SNMP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03271">
              <w:rPr>
                <w:sz w:val="20"/>
                <w:szCs w:val="20"/>
                <w:lang w:eastAsia="en-US"/>
              </w:rPr>
              <w:t>;</w:t>
            </w:r>
          </w:p>
          <w:p w14:paraId="495AC28D" w14:textId="38A94366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-wysyłanie do administratora maila z powiadomieniem o awarii lub zmianie konfiguracji sprzętowej.</w:t>
            </w:r>
          </w:p>
        </w:tc>
      </w:tr>
      <w:tr w:rsidR="00254196" w14:paraId="5FCC2852" w14:textId="77777777" w:rsidTr="00367A5A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4396F" w14:textId="77777777" w:rsidR="00254196" w:rsidRPr="00003271" w:rsidRDefault="00254196" w:rsidP="0025419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3271">
              <w:rPr>
                <w:b/>
                <w:sz w:val="20"/>
                <w:szCs w:val="20"/>
                <w:lang w:eastAsia="en-US"/>
              </w:rPr>
              <w:t>W zakresie zgodności z normami</w:t>
            </w:r>
          </w:p>
        </w:tc>
      </w:tr>
      <w:tr w:rsidR="00254196" w14:paraId="19ED1299" w14:textId="77777777" w:rsidTr="00367A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3B931" w14:textId="6E416FDD" w:rsidR="00254196" w:rsidRPr="00003271" w:rsidRDefault="00254196" w:rsidP="00254196">
            <w:pPr>
              <w:spacing w:line="256" w:lineRule="auto"/>
              <w:ind w:left="-3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 w:rsidRPr="00003271"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5459C0" w14:textId="77777777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Normy i certyfikaty</w:t>
            </w:r>
          </w:p>
        </w:tc>
        <w:tc>
          <w:tcPr>
            <w:tcW w:w="7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4097F" w14:textId="4A261B6F" w:rsidR="00254196" w:rsidRPr="00003271" w:rsidRDefault="00254196" w:rsidP="00254196">
            <w:pPr>
              <w:spacing w:line="256" w:lineRule="auto"/>
              <w:rPr>
                <w:rFonts w:ascii="Arial Black" w:hAnsi="Arial Black"/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Serwer musi być wyprodukowany zgodnie z normą ISO-9001 oraz ISO-14001.</w:t>
            </w:r>
          </w:p>
        </w:tc>
      </w:tr>
      <w:tr w:rsidR="00254196" w14:paraId="76FAE26E" w14:textId="77777777" w:rsidTr="00367A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F39AB" w14:textId="5AC05A48" w:rsidR="00254196" w:rsidRPr="00003271" w:rsidRDefault="00254196" w:rsidP="00254196">
            <w:pPr>
              <w:spacing w:line="256" w:lineRule="auto"/>
              <w:ind w:left="-3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 w:rsidRPr="00003271">
              <w:rPr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8436E8" w14:textId="77777777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5C42F" w14:textId="12D83F1C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Serwer musi posiadać deklaracj</w:t>
            </w:r>
            <w:r>
              <w:rPr>
                <w:sz w:val="20"/>
                <w:szCs w:val="20"/>
                <w:lang w:eastAsia="en-US"/>
              </w:rPr>
              <w:t>ę</w:t>
            </w:r>
            <w:r w:rsidRPr="00003271">
              <w:rPr>
                <w:sz w:val="20"/>
                <w:szCs w:val="20"/>
                <w:lang w:eastAsia="en-US"/>
              </w:rPr>
              <w:t xml:space="preserve"> CE.</w:t>
            </w:r>
          </w:p>
          <w:p w14:paraId="425E231A" w14:textId="77777777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B1754" w14:textId="536DAA29" w:rsidR="00254196" w:rsidRPr="00003271" w:rsidRDefault="00254196" w:rsidP="00254196">
            <w:pPr>
              <w:spacing w:line="256" w:lineRule="auto"/>
              <w:rPr>
                <w:rFonts w:ascii="Arial Black" w:hAnsi="Arial Black"/>
                <w:sz w:val="20"/>
                <w:szCs w:val="20"/>
                <w:lang w:eastAsia="en-US"/>
              </w:rPr>
            </w:pPr>
          </w:p>
        </w:tc>
      </w:tr>
      <w:tr w:rsidR="00254196" w14:paraId="36DBC8BC" w14:textId="77777777" w:rsidTr="00367A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D8BFA" w14:textId="44B7134F" w:rsidR="00254196" w:rsidRPr="00003271" w:rsidRDefault="00254196" w:rsidP="00254196">
            <w:pPr>
              <w:spacing w:line="256" w:lineRule="auto"/>
              <w:ind w:left="-3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 w:rsidRPr="00003271">
              <w:rPr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7FAC99" w14:textId="77777777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67FAB" w14:textId="32F91707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 xml:space="preserve">Oferowany serwer musi znajdować się na liście Windows Server </w:t>
            </w:r>
            <w:proofErr w:type="spellStart"/>
            <w:r w:rsidRPr="00003271">
              <w:rPr>
                <w:sz w:val="20"/>
                <w:szCs w:val="20"/>
                <w:lang w:eastAsia="en-US"/>
              </w:rPr>
              <w:t>Catalog</w:t>
            </w:r>
            <w:proofErr w:type="spellEnd"/>
            <w:r w:rsidRPr="00003271">
              <w:rPr>
                <w:sz w:val="20"/>
                <w:szCs w:val="20"/>
                <w:lang w:eastAsia="en-US"/>
              </w:rPr>
              <w:t xml:space="preserve"> i posiadać status „</w:t>
            </w:r>
            <w:proofErr w:type="spellStart"/>
            <w:r w:rsidRPr="00003271">
              <w:rPr>
                <w:sz w:val="20"/>
                <w:szCs w:val="20"/>
                <w:lang w:eastAsia="en-US"/>
              </w:rPr>
              <w:t>Certified</w:t>
            </w:r>
            <w:proofErr w:type="spellEnd"/>
            <w:r w:rsidRPr="00003271">
              <w:rPr>
                <w:sz w:val="20"/>
                <w:szCs w:val="20"/>
                <w:lang w:eastAsia="en-US"/>
              </w:rPr>
              <w:t xml:space="preserve"> for Windows” dla syste</w:t>
            </w:r>
            <w:r>
              <w:rPr>
                <w:sz w:val="20"/>
                <w:szCs w:val="20"/>
                <w:lang w:eastAsia="en-US"/>
              </w:rPr>
              <w:t xml:space="preserve">mu </w:t>
            </w:r>
            <w:r w:rsidRPr="005F2DF9">
              <w:rPr>
                <w:sz w:val="20"/>
                <w:szCs w:val="20"/>
                <w:lang w:eastAsia="en-US"/>
              </w:rPr>
              <w:t>Microsoft Windows Server 2019</w:t>
            </w:r>
            <w:r w:rsidR="00B75C8F" w:rsidRPr="005F2DF9">
              <w:rPr>
                <w:sz w:val="20"/>
                <w:szCs w:val="20"/>
                <w:lang w:eastAsia="en-US"/>
              </w:rPr>
              <w:t xml:space="preserve"> </w:t>
            </w:r>
            <w:r w:rsidR="001C60E3" w:rsidRPr="005F2DF9">
              <w:rPr>
                <w:sz w:val="20"/>
                <w:szCs w:val="20"/>
              </w:rPr>
              <w:t>lub równoważne wykazanie zgodności dla oprogramowania równoważnego.</w:t>
            </w:r>
          </w:p>
          <w:p w14:paraId="5E0D1497" w14:textId="10E4037D" w:rsidR="00254196" w:rsidRPr="00003271" w:rsidRDefault="00254196" w:rsidP="00254196">
            <w:pPr>
              <w:spacing w:line="256" w:lineRule="auto"/>
              <w:rPr>
                <w:snapToGrid w:val="0"/>
                <w:sz w:val="20"/>
                <w:szCs w:val="20"/>
                <w:lang w:eastAsia="en-US"/>
              </w:rPr>
            </w:pPr>
          </w:p>
        </w:tc>
      </w:tr>
      <w:tr w:rsidR="00254196" w14:paraId="1DD01DFC" w14:textId="77777777" w:rsidTr="00367A5A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0B302" w14:textId="77777777" w:rsidR="00254196" w:rsidRPr="00003271" w:rsidRDefault="00254196" w:rsidP="0025419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03271">
              <w:rPr>
                <w:b/>
                <w:sz w:val="20"/>
                <w:szCs w:val="20"/>
                <w:lang w:eastAsia="en-US"/>
              </w:rPr>
              <w:t>W zakresie gwarancji i serwisu</w:t>
            </w:r>
          </w:p>
        </w:tc>
      </w:tr>
      <w:tr w:rsidR="009C58C5" w14:paraId="0ED7294C" w14:textId="77777777" w:rsidTr="00E564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B003F" w14:textId="642FBB22" w:rsidR="009C58C5" w:rsidRPr="00003271" w:rsidRDefault="009C58C5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003271">
              <w:rPr>
                <w:sz w:val="20"/>
                <w:szCs w:val="20"/>
                <w:lang w:eastAsia="en-US"/>
              </w:rPr>
              <w:t>a</w:t>
            </w:r>
          </w:p>
          <w:p w14:paraId="2AE55777" w14:textId="77777777" w:rsidR="009C58C5" w:rsidRPr="00003271" w:rsidRDefault="009C58C5" w:rsidP="00254196">
            <w:pPr>
              <w:spacing w:line="256" w:lineRule="auto"/>
              <w:ind w:left="-3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93D42" w14:textId="522513B9" w:rsidR="009C58C5" w:rsidRPr="00003271" w:rsidRDefault="009C58C5" w:rsidP="00254196">
            <w:pPr>
              <w:spacing w:line="25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</w:rPr>
              <w:t>Gwarancja i serwis producenta (dotyczy serwerów)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FDC53" w14:textId="77777777" w:rsidR="009C58C5" w:rsidRPr="00003271" w:rsidRDefault="009C58C5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Co najmniej 60 miesięcy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443B4" w14:textId="77777777" w:rsidR="009C58C5" w:rsidRPr="00003271" w:rsidRDefault="009C58C5" w:rsidP="0025419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1A62B47" w14:textId="77777777" w:rsidR="009C58C5" w:rsidRPr="00003271" w:rsidRDefault="009C58C5" w:rsidP="0025419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58C5" w14:paraId="3FEBCA0F" w14:textId="77777777" w:rsidTr="00E564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80EAA" w14:textId="0AE7AE9B" w:rsidR="009C58C5" w:rsidRPr="00003271" w:rsidRDefault="009C58C5" w:rsidP="00254196">
            <w:pPr>
              <w:spacing w:line="256" w:lineRule="auto"/>
              <w:ind w:left="-30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003271">
              <w:rPr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378998" w14:textId="77777777" w:rsidR="009C58C5" w:rsidRPr="00003271" w:rsidRDefault="009C58C5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1A09F" w14:textId="77777777" w:rsidR="009C58C5" w:rsidRPr="00003271" w:rsidRDefault="009C58C5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 xml:space="preserve">Gwarancja realizowana w miejscu instalacji sprzętu, z czasem reakcji 4 godziny od przyjęcia zgłoszenia, możliwość zgłaszania awarii 24x7x365 poprzez ogólnopolską linię telefoniczną producenta. </w:t>
            </w:r>
          </w:p>
          <w:p w14:paraId="0DA64D2F" w14:textId="34617E28" w:rsidR="009C58C5" w:rsidRPr="00003271" w:rsidRDefault="009C58C5" w:rsidP="00254196">
            <w:pPr>
              <w:spacing w:line="256" w:lineRule="auto"/>
              <w:rPr>
                <w:rFonts w:ascii="Arial Black" w:hAnsi="Arial Black"/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W przypadku awarii nośników pozostają one własnością Zamawiającego.</w:t>
            </w:r>
          </w:p>
        </w:tc>
      </w:tr>
      <w:tr w:rsidR="00254196" w14:paraId="2FEA7A01" w14:textId="77777777" w:rsidTr="00367A5A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0228D" w14:textId="77777777" w:rsidR="00254196" w:rsidRPr="00003271" w:rsidRDefault="00254196" w:rsidP="0025419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03271">
              <w:rPr>
                <w:b/>
                <w:sz w:val="20"/>
                <w:szCs w:val="20"/>
                <w:lang w:eastAsia="en-US"/>
              </w:rPr>
              <w:t>W zakresie dokumentacji</w:t>
            </w:r>
          </w:p>
        </w:tc>
      </w:tr>
      <w:tr w:rsidR="00254196" w14:paraId="749BF1AC" w14:textId="77777777" w:rsidTr="00367A5A"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738BA" w14:textId="5572D59B" w:rsidR="00254196" w:rsidRPr="00003271" w:rsidRDefault="00254196" w:rsidP="00254196">
            <w:pPr>
              <w:spacing w:line="256" w:lineRule="auto"/>
              <w:ind w:left="-30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1289" w14:textId="77777777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Dokumentacja użytkownika</w:t>
            </w:r>
          </w:p>
        </w:tc>
        <w:tc>
          <w:tcPr>
            <w:tcW w:w="7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553DB" w14:textId="59EBB04D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>Zamawiający wymaga dokumentacji w języku polskim lub angielskim.</w:t>
            </w:r>
          </w:p>
          <w:p w14:paraId="41D7712F" w14:textId="403979C9" w:rsidR="00254196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1F307" w14:textId="77777777" w:rsidR="00CA6559" w:rsidRPr="00003271" w:rsidRDefault="00CA6559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BD8E1" w14:textId="7B266B75" w:rsidR="00254196" w:rsidRPr="00003271" w:rsidRDefault="00254196" w:rsidP="0025419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CA6559" w:rsidRPr="00003271" w14:paraId="6E28BE1C" w14:textId="77777777" w:rsidTr="00092713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DE435" w14:textId="282D55DA" w:rsidR="00CA6559" w:rsidRPr="00003271" w:rsidRDefault="00CA6559" w:rsidP="0009271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03271">
              <w:rPr>
                <w:b/>
                <w:sz w:val="20"/>
                <w:szCs w:val="20"/>
                <w:lang w:eastAsia="en-US"/>
              </w:rPr>
              <w:t xml:space="preserve">W zakresie </w:t>
            </w:r>
            <w:r>
              <w:rPr>
                <w:b/>
                <w:sz w:val="20"/>
                <w:szCs w:val="20"/>
                <w:lang w:eastAsia="en-US"/>
              </w:rPr>
              <w:t>oprogramowania</w:t>
            </w:r>
          </w:p>
        </w:tc>
      </w:tr>
      <w:tr w:rsidR="00CA6559" w:rsidRPr="00003271" w14:paraId="585A4D61" w14:textId="77777777" w:rsidTr="003F78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E08B9" w14:textId="5CEC59C5" w:rsidR="00CA6559" w:rsidRPr="00003271" w:rsidRDefault="00CA6559" w:rsidP="00092713">
            <w:pPr>
              <w:spacing w:line="256" w:lineRule="auto"/>
              <w:ind w:left="-3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22a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17EF1" w14:textId="0FA5B381" w:rsidR="00CA6559" w:rsidRPr="00003271" w:rsidRDefault="00CA6559" w:rsidP="0009271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Oprogramowanie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94DA" w14:textId="77777777" w:rsidR="00CA6559" w:rsidRPr="004972B3" w:rsidRDefault="00CA6559" w:rsidP="00CA6559">
            <w:pPr>
              <w:spacing w:line="254" w:lineRule="auto"/>
              <w:rPr>
                <w:sz w:val="20"/>
                <w:szCs w:val="20"/>
                <w:lang w:val="en-US" w:eastAsia="en-US"/>
              </w:rPr>
            </w:pPr>
            <w:r w:rsidRPr="004972B3">
              <w:rPr>
                <w:sz w:val="20"/>
                <w:szCs w:val="20"/>
                <w:lang w:val="en-US" w:eastAsia="en-US"/>
              </w:rPr>
              <w:t xml:space="preserve">Microsoft Windows Server Datacenter </w:t>
            </w:r>
          </w:p>
          <w:p w14:paraId="09353AF4" w14:textId="77777777" w:rsidR="00CA6559" w:rsidRPr="004972B3" w:rsidRDefault="00CA6559" w:rsidP="00CA6559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4972B3">
              <w:rPr>
                <w:sz w:val="20"/>
                <w:szCs w:val="20"/>
                <w:lang w:val="en-US" w:eastAsia="en-US"/>
              </w:rPr>
              <w:t xml:space="preserve">Core 2019 Open 16Lic No Level Government </w:t>
            </w:r>
            <w:proofErr w:type="spellStart"/>
            <w:r w:rsidRPr="004972B3">
              <w:rPr>
                <w:sz w:val="20"/>
                <w:szCs w:val="20"/>
                <w:lang w:val="en-US" w:eastAsia="en-US"/>
              </w:rPr>
              <w:t>CoreLicense</w:t>
            </w:r>
            <w:proofErr w:type="spellEnd"/>
            <w:r w:rsidRPr="004972B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972B3">
              <w:rPr>
                <w:sz w:val="20"/>
                <w:szCs w:val="20"/>
                <w:lang w:val="en-US" w:eastAsia="en-US"/>
              </w:rPr>
              <w:t>Qlfd</w:t>
            </w:r>
            <w:proofErr w:type="spellEnd"/>
            <w:r w:rsidRPr="004972B3">
              <w:rPr>
                <w:sz w:val="20"/>
                <w:szCs w:val="20"/>
                <w:lang w:val="en-US" w:eastAsia="en-US"/>
              </w:rPr>
              <w:t xml:space="preserve"> </w:t>
            </w:r>
          </w:p>
          <w:p w14:paraId="5A2353B8" w14:textId="77777777" w:rsidR="00CA6559" w:rsidRDefault="00CA6559" w:rsidP="00CA655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26F6A">
              <w:rPr>
                <w:sz w:val="20"/>
                <w:szCs w:val="20"/>
                <w:lang w:eastAsia="en-US"/>
              </w:rPr>
              <w:t>lub równoważny**</w:t>
            </w:r>
          </w:p>
          <w:p w14:paraId="184F92B6" w14:textId="77777777" w:rsidR="00CA6559" w:rsidRDefault="00CA6559" w:rsidP="00CA655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C13ED" w14:textId="77777777" w:rsidR="00CA6559" w:rsidRDefault="00CA6559" w:rsidP="00CA6559">
            <w:pPr>
              <w:spacing w:line="256" w:lineRule="auto"/>
              <w:rPr>
                <w:sz w:val="20"/>
                <w:szCs w:val="20"/>
              </w:rPr>
            </w:pPr>
            <w:r w:rsidRPr="00C162DA">
              <w:rPr>
                <w:sz w:val="20"/>
                <w:szCs w:val="20"/>
              </w:rPr>
              <w:t>Oprogramowanie musi być fabrycznie nowe, nieużywane oraz nieaktywowane nigdy wcześniej na innym urządzeniu</w:t>
            </w:r>
            <w:r w:rsidRPr="00D81E0E">
              <w:rPr>
                <w:sz w:val="20"/>
                <w:szCs w:val="20"/>
              </w:rPr>
              <w:t>.</w:t>
            </w:r>
          </w:p>
          <w:p w14:paraId="2D5553B3" w14:textId="77777777" w:rsidR="00CA6559" w:rsidRDefault="00CA6559" w:rsidP="00CA655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4523" w14:textId="77777777" w:rsidR="00CA6559" w:rsidRDefault="00CA6559" w:rsidP="00CA655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Licencja musi </w:t>
            </w:r>
            <w:r>
              <w:rPr>
                <w:snapToGrid w:val="0"/>
                <w:sz w:val="20"/>
                <w:szCs w:val="20"/>
                <w:lang w:eastAsia="en-US"/>
              </w:rPr>
              <w:t xml:space="preserve">obejmować wszystkie rdzenie procesorów wymienione w Załączniku 1A pkt. </w:t>
            </w:r>
            <w:r>
              <w:rPr>
                <w:snapToGrid w:val="0"/>
                <w:sz w:val="20"/>
                <w:szCs w:val="20"/>
                <w:lang w:eastAsia="en-US"/>
              </w:rPr>
              <w:lastRenderedPageBreak/>
              <w:t xml:space="preserve">6 oraz </w:t>
            </w:r>
            <w:r>
              <w:rPr>
                <w:sz w:val="20"/>
                <w:szCs w:val="20"/>
                <w:lang w:eastAsia="en-US"/>
              </w:rPr>
              <w:t>umożliwiać legalne przeniesienie produktu na inny serwer fizyczny o nie większej ilości rdzeni procesorów.</w:t>
            </w:r>
          </w:p>
          <w:p w14:paraId="61BE599A" w14:textId="77777777" w:rsidR="00CA6559" w:rsidRDefault="00CA6559" w:rsidP="00CA655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B0C8" w14:textId="77777777" w:rsidR="00CA6559" w:rsidRDefault="00CA6559" w:rsidP="00CA655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FC64F" w14:textId="340DB594" w:rsidR="009D24F1" w:rsidRPr="00003271" w:rsidRDefault="009D24F1" w:rsidP="00CA655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7879C" w14:textId="77777777" w:rsidR="00CA6559" w:rsidRPr="00003271" w:rsidRDefault="00CA6559" w:rsidP="0009271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CA6559" w:rsidRPr="00003271" w14:paraId="27F5FFED" w14:textId="77777777" w:rsidTr="003F78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56AF" w14:textId="75BE83C2" w:rsidR="00CA6559" w:rsidRPr="00003271" w:rsidRDefault="00CA6559" w:rsidP="00092713">
            <w:pPr>
              <w:spacing w:line="256" w:lineRule="auto"/>
              <w:ind w:left="-3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22b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54641" w14:textId="0D9AA4E7" w:rsidR="00CA6559" w:rsidRPr="00003271" w:rsidRDefault="00CA6559" w:rsidP="0009271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07960" w14:textId="77777777" w:rsidR="00CA6559" w:rsidRPr="004972B3" w:rsidRDefault="00CA6559" w:rsidP="00CA6559">
            <w:pPr>
              <w:spacing w:line="254" w:lineRule="auto"/>
              <w:rPr>
                <w:sz w:val="20"/>
                <w:szCs w:val="20"/>
                <w:lang w:val="en-US" w:eastAsia="en-US"/>
              </w:rPr>
            </w:pPr>
            <w:r w:rsidRPr="004972B3">
              <w:rPr>
                <w:sz w:val="20"/>
                <w:szCs w:val="20"/>
                <w:lang w:val="en-US" w:eastAsia="en-US"/>
              </w:rPr>
              <w:t xml:space="preserve">Microsoft System Center Datacenter </w:t>
            </w:r>
          </w:p>
          <w:p w14:paraId="297D256D" w14:textId="77777777" w:rsidR="00CA6559" w:rsidRPr="004972B3" w:rsidRDefault="00CA6559" w:rsidP="00CA6559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4972B3">
              <w:rPr>
                <w:sz w:val="20"/>
                <w:szCs w:val="20"/>
                <w:lang w:val="en-US" w:eastAsia="en-US"/>
              </w:rPr>
              <w:t xml:space="preserve">Core License + Software Assurance Open 16Lic No Level Government </w:t>
            </w:r>
            <w:proofErr w:type="spellStart"/>
            <w:r w:rsidRPr="004972B3">
              <w:rPr>
                <w:sz w:val="20"/>
                <w:szCs w:val="20"/>
                <w:lang w:val="en-US" w:eastAsia="en-US"/>
              </w:rPr>
              <w:t>CoreLicense</w:t>
            </w:r>
            <w:proofErr w:type="spellEnd"/>
            <w:r w:rsidRPr="004972B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972B3">
              <w:rPr>
                <w:sz w:val="20"/>
                <w:szCs w:val="20"/>
                <w:lang w:val="en-US" w:eastAsia="en-US"/>
              </w:rPr>
              <w:t>Qlfd</w:t>
            </w:r>
            <w:proofErr w:type="spellEnd"/>
            <w:r w:rsidRPr="004972B3">
              <w:rPr>
                <w:sz w:val="20"/>
                <w:szCs w:val="20"/>
                <w:lang w:val="en-US" w:eastAsia="en-US"/>
              </w:rPr>
              <w:t xml:space="preserve"> </w:t>
            </w:r>
          </w:p>
          <w:p w14:paraId="4111A05D" w14:textId="77777777" w:rsidR="00CA6559" w:rsidRDefault="00CA6559" w:rsidP="00CA655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26F6A">
              <w:rPr>
                <w:sz w:val="20"/>
                <w:szCs w:val="20"/>
                <w:lang w:eastAsia="en-US"/>
              </w:rPr>
              <w:t>lub równoważny**</w:t>
            </w:r>
          </w:p>
          <w:p w14:paraId="5C41DA7D" w14:textId="77777777" w:rsidR="00CA6559" w:rsidRDefault="00CA6559" w:rsidP="00CA655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7CAEB" w14:textId="77777777" w:rsidR="00CA6559" w:rsidRDefault="00CA6559" w:rsidP="00CA6559">
            <w:pPr>
              <w:spacing w:line="256" w:lineRule="auto"/>
              <w:rPr>
                <w:sz w:val="20"/>
                <w:szCs w:val="20"/>
              </w:rPr>
            </w:pPr>
            <w:r w:rsidRPr="00C162DA">
              <w:rPr>
                <w:sz w:val="20"/>
                <w:szCs w:val="20"/>
              </w:rPr>
              <w:t>Oprogramowanie musi być fabrycznie nowe, nieużywane oraz nieaktywowane nigdy wcześniej na innym urządzeniu</w:t>
            </w:r>
            <w:r w:rsidRPr="00D81E0E">
              <w:rPr>
                <w:sz w:val="20"/>
                <w:szCs w:val="20"/>
              </w:rPr>
              <w:t>.</w:t>
            </w:r>
          </w:p>
          <w:p w14:paraId="59E08D95" w14:textId="77777777" w:rsidR="00CA6559" w:rsidRDefault="00CA6559" w:rsidP="00CA655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4D473" w14:textId="16A482C5" w:rsidR="00CA6559" w:rsidRPr="00003271" w:rsidRDefault="00CA6559" w:rsidP="00CA655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Licencja musi </w:t>
            </w:r>
            <w:r>
              <w:rPr>
                <w:snapToGrid w:val="0"/>
                <w:sz w:val="20"/>
                <w:szCs w:val="20"/>
                <w:lang w:eastAsia="en-US"/>
              </w:rPr>
              <w:t xml:space="preserve">obejmować wszystkie rdzenie procesorów wymienione w Załączniku 1A pkt. 6 oraz </w:t>
            </w:r>
            <w:r>
              <w:rPr>
                <w:sz w:val="20"/>
                <w:szCs w:val="20"/>
                <w:lang w:eastAsia="en-US"/>
              </w:rPr>
              <w:t>umożliwiać legalne przeniesienie produktu na inny serwer fizyczny o nie większej ilości rdzeni procesorów.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71966" w14:textId="77777777" w:rsidR="00CA6559" w:rsidRPr="00003271" w:rsidRDefault="00CA6559" w:rsidP="0009271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4B507411" w14:textId="38DC5FA4" w:rsidR="005A77B5" w:rsidRDefault="005A77B5" w:rsidP="005A77B5">
      <w:pPr>
        <w:spacing w:line="240" w:lineRule="exact"/>
      </w:pPr>
    </w:p>
    <w:p w14:paraId="794DF057" w14:textId="77777777" w:rsidR="00CA6559" w:rsidRDefault="00CA6559" w:rsidP="005A77B5">
      <w:pPr>
        <w:spacing w:line="240" w:lineRule="exact"/>
      </w:pPr>
    </w:p>
    <w:p w14:paraId="60913C40" w14:textId="77777777" w:rsidR="00A251B6" w:rsidRDefault="00A251B6" w:rsidP="005A77B5"/>
    <w:p w14:paraId="3EC155E4" w14:textId="77777777" w:rsidR="00A251B6" w:rsidRDefault="00A251B6" w:rsidP="005A77B5"/>
    <w:p w14:paraId="1A08E239" w14:textId="77777777" w:rsidR="00A251B6" w:rsidRDefault="00A251B6" w:rsidP="005A77B5"/>
    <w:p w14:paraId="61DB68BD" w14:textId="77777777" w:rsidR="00A251B6" w:rsidRDefault="00A251B6" w:rsidP="005A77B5"/>
    <w:p w14:paraId="394E182A" w14:textId="77777777" w:rsidR="00A251B6" w:rsidRDefault="00A251B6" w:rsidP="005A77B5"/>
    <w:p w14:paraId="0401E69E" w14:textId="77777777" w:rsidR="00A251B6" w:rsidRDefault="00A251B6" w:rsidP="005A77B5"/>
    <w:p w14:paraId="57F8E954" w14:textId="77777777" w:rsidR="00A251B6" w:rsidRDefault="00A251B6" w:rsidP="005A77B5"/>
    <w:p w14:paraId="031C229F" w14:textId="77777777" w:rsidR="00A251B6" w:rsidRDefault="00A251B6" w:rsidP="005A77B5"/>
    <w:p w14:paraId="6968DED6" w14:textId="77777777" w:rsidR="00A251B6" w:rsidRDefault="00A251B6" w:rsidP="005A77B5"/>
    <w:p w14:paraId="7739B6F8" w14:textId="77777777" w:rsidR="00A251B6" w:rsidRDefault="00A251B6" w:rsidP="005A77B5"/>
    <w:p w14:paraId="7C2D4944" w14:textId="77777777" w:rsidR="00A251B6" w:rsidRDefault="00A251B6" w:rsidP="005A77B5"/>
    <w:p w14:paraId="7060BB99" w14:textId="77777777" w:rsidR="00A251B6" w:rsidRDefault="00A251B6" w:rsidP="005A77B5"/>
    <w:p w14:paraId="4A09CD33" w14:textId="77777777" w:rsidR="00A251B6" w:rsidRDefault="00A251B6" w:rsidP="005A77B5"/>
    <w:p w14:paraId="7511F7AA" w14:textId="77777777" w:rsidR="00A251B6" w:rsidRDefault="00A251B6" w:rsidP="005A77B5"/>
    <w:p w14:paraId="4D57224D" w14:textId="77777777" w:rsidR="00A251B6" w:rsidRDefault="00A251B6" w:rsidP="005A77B5"/>
    <w:p w14:paraId="22CBD365" w14:textId="77777777" w:rsidR="00A251B6" w:rsidRDefault="00A251B6" w:rsidP="005A77B5"/>
    <w:p w14:paraId="007980FE" w14:textId="77777777" w:rsidR="00A251B6" w:rsidRDefault="00A251B6" w:rsidP="005A77B5"/>
    <w:p w14:paraId="505645B2" w14:textId="77777777" w:rsidR="00A251B6" w:rsidRDefault="00A251B6" w:rsidP="005A77B5"/>
    <w:p w14:paraId="68819DCB" w14:textId="43EC25CC" w:rsidR="005A77B5" w:rsidRDefault="005A77B5" w:rsidP="005A77B5">
      <w:r>
        <w:t xml:space="preserve">Potwierdzamy zgodność oferty z wymaganiami wymienionymi w pozycjach: </w:t>
      </w:r>
      <w:r w:rsidR="000A471E">
        <w:t>3, 8, 12, 16, 18-</w:t>
      </w:r>
      <w:r w:rsidR="004029B6">
        <w:t>19</w:t>
      </w:r>
      <w:r w:rsidR="000A471E">
        <w:t>c, 2</w:t>
      </w:r>
      <w:r w:rsidR="004029B6">
        <w:t>0</w:t>
      </w:r>
      <w:r w:rsidR="000A471E">
        <w:t>b-2</w:t>
      </w:r>
      <w:r w:rsidR="00C47946">
        <w:t>1</w:t>
      </w:r>
      <w:r w:rsidR="000A471E">
        <w:t xml:space="preserve">. </w:t>
      </w:r>
    </w:p>
    <w:p w14:paraId="4F8F6AFB" w14:textId="77777777" w:rsidR="005A77B5" w:rsidRDefault="005A77B5" w:rsidP="005A77B5"/>
    <w:p w14:paraId="4C081126" w14:textId="77777777" w:rsidR="005A77B5" w:rsidRDefault="005A77B5" w:rsidP="005A77B5">
      <w:pPr>
        <w:spacing w:line="240" w:lineRule="exact"/>
      </w:pPr>
    </w:p>
    <w:p w14:paraId="6C86C335" w14:textId="77777777" w:rsidR="005A77B5" w:rsidRDefault="005A77B5" w:rsidP="005A77B5">
      <w:pPr>
        <w:spacing w:line="240" w:lineRule="exact"/>
      </w:pPr>
    </w:p>
    <w:p w14:paraId="08FBB162" w14:textId="77777777" w:rsidR="005A77B5" w:rsidRDefault="005A77B5" w:rsidP="005A77B5">
      <w:pPr>
        <w:spacing w:line="240" w:lineRule="exact"/>
        <w:ind w:left="1701" w:right="5930"/>
        <w:jc w:val="center"/>
      </w:pPr>
      <w:r>
        <w:t>…………………………</w:t>
      </w:r>
    </w:p>
    <w:p w14:paraId="3AD0AA15" w14:textId="77777777" w:rsidR="005A77B5" w:rsidRDefault="005A77B5" w:rsidP="005A77B5">
      <w:pPr>
        <w:spacing w:line="240" w:lineRule="exact"/>
        <w:ind w:left="1701" w:right="593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Podpis i pieczęć Oferenta</w:t>
      </w:r>
    </w:p>
    <w:p w14:paraId="7219CB48" w14:textId="77777777" w:rsidR="005A77B5" w:rsidRDefault="005A77B5" w:rsidP="005A77B5">
      <w:pPr>
        <w:spacing w:line="240" w:lineRule="exact"/>
      </w:pPr>
    </w:p>
    <w:p w14:paraId="62987952" w14:textId="77777777" w:rsidR="005A77B5" w:rsidRDefault="005A77B5" w:rsidP="005A77B5"/>
    <w:p w14:paraId="233D21A8" w14:textId="0B54FD51" w:rsidR="005A77B5" w:rsidRPr="000A471E" w:rsidRDefault="005A77B5" w:rsidP="000A471E">
      <w:r>
        <w:t xml:space="preserve">*Pozycje </w:t>
      </w:r>
      <w:r w:rsidR="000A471E">
        <w:t>1-2, 4-7, 9-11</w:t>
      </w:r>
      <w:r w:rsidR="006465C6">
        <w:t>a</w:t>
      </w:r>
      <w:r w:rsidR="000A471E">
        <w:t>, 13-15, 17, 2</w:t>
      </w:r>
      <w:r w:rsidR="004029B6">
        <w:t>0</w:t>
      </w:r>
      <w:r w:rsidR="000A471E">
        <w:t>a</w:t>
      </w:r>
      <w:r w:rsidR="00CA6559">
        <w:t xml:space="preserve"> oraz 22a-b</w:t>
      </w:r>
      <w:r>
        <w:t>, należy uzupełnić opisowo wpisując nazwę, typ, parametry, oferowane wyposażenie.</w:t>
      </w:r>
    </w:p>
    <w:p w14:paraId="27E05CC9" w14:textId="77777777" w:rsidR="001A704D" w:rsidRDefault="001A704D" w:rsidP="008F25DF">
      <w:pPr>
        <w:jc w:val="right"/>
        <w:rPr>
          <w:b/>
        </w:rPr>
      </w:pPr>
    </w:p>
    <w:p w14:paraId="46C0DA31" w14:textId="21F3E155" w:rsidR="006465C6" w:rsidRPr="000A471E" w:rsidRDefault="006465C6" w:rsidP="006465C6">
      <w:r>
        <w:t>*Pozycję 11b, należy uzupełnić TAK lub NIE.</w:t>
      </w:r>
    </w:p>
    <w:p w14:paraId="63ABA3C6" w14:textId="77777777" w:rsidR="00CA6559" w:rsidRDefault="00CA6559">
      <w:pPr>
        <w:spacing w:after="160" w:line="259" w:lineRule="auto"/>
        <w:rPr>
          <w:b/>
        </w:rPr>
      </w:pPr>
    </w:p>
    <w:p w14:paraId="4AB6D3D9" w14:textId="455E9AE0" w:rsidR="00CA6559" w:rsidRPr="00426F6A" w:rsidRDefault="00CA6559" w:rsidP="00CA6559">
      <w:pPr>
        <w:spacing w:after="160" w:line="259" w:lineRule="auto"/>
        <w:rPr>
          <w:bCs/>
        </w:rPr>
      </w:pPr>
      <w:r w:rsidRPr="00426F6A">
        <w:rPr>
          <w:bCs/>
        </w:rPr>
        <w:t>**Warunki równoważności</w:t>
      </w:r>
      <w:r>
        <w:rPr>
          <w:bCs/>
        </w:rPr>
        <w:t xml:space="preserve"> zawiera Załącznik 1C.</w:t>
      </w:r>
    </w:p>
    <w:p w14:paraId="1D965480" w14:textId="53AB0A01" w:rsidR="001A704D" w:rsidRDefault="001A704D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3FD149DD" w14:textId="61EEB4AE" w:rsidR="008F25DF" w:rsidRPr="009219E1" w:rsidRDefault="0084160A" w:rsidP="008F25DF">
      <w:pPr>
        <w:jc w:val="right"/>
        <w:rPr>
          <w:b/>
          <w:color w:val="FF0000"/>
        </w:rPr>
      </w:pPr>
      <w:r>
        <w:rPr>
          <w:b/>
        </w:rPr>
        <w:lastRenderedPageBreak/>
        <w:t>Załącznik nr 1</w:t>
      </w:r>
      <w:r w:rsidR="005A77B5">
        <w:rPr>
          <w:b/>
        </w:rPr>
        <w:t>B</w:t>
      </w:r>
    </w:p>
    <w:p w14:paraId="5B0B6A51" w14:textId="77777777" w:rsidR="00B34D61" w:rsidRDefault="00B34D61" w:rsidP="0084160A"/>
    <w:p w14:paraId="5FFA86C2" w14:textId="2418427D" w:rsidR="0084160A" w:rsidRPr="00457844" w:rsidRDefault="005F122E" w:rsidP="0084160A">
      <w:r>
        <w:t>Serwer</w:t>
      </w:r>
      <w:r w:rsidR="00A1368E">
        <w:t xml:space="preserve"> </w:t>
      </w:r>
      <w:r w:rsidR="00A1368E">
        <w:rPr>
          <w:rFonts w:cstheme="minorHAnsi"/>
          <w:color w:val="000000"/>
        </w:rPr>
        <w:t>z pakietem gwarancyjnym producenta</w:t>
      </w:r>
      <w:r w:rsidR="0011063D">
        <w:t xml:space="preserve"> (konfiguracja nr 2) </w:t>
      </w:r>
      <w:r w:rsidR="00376410">
        <w:t xml:space="preserve">– </w:t>
      </w:r>
      <w:r w:rsidR="00F46FFF">
        <w:t>5</w:t>
      </w:r>
      <w:r w:rsidR="009B5E41">
        <w:t xml:space="preserve"> </w:t>
      </w:r>
      <w:r w:rsidR="0084160A" w:rsidRPr="00457844">
        <w:t>sztuk</w:t>
      </w:r>
    </w:p>
    <w:p w14:paraId="29109872" w14:textId="77777777" w:rsidR="0084160A" w:rsidRPr="0084160A" w:rsidRDefault="0084160A" w:rsidP="00577889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48"/>
        <w:gridCol w:w="1800"/>
        <w:gridCol w:w="3984"/>
        <w:gridCol w:w="3628"/>
      </w:tblGrid>
      <w:tr w:rsidR="0084160A" w:rsidRPr="0084160A" w14:paraId="5EE2264B" w14:textId="77777777" w:rsidTr="00367A5A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7CB50A54" w14:textId="77777777" w:rsidR="0084160A" w:rsidRPr="0084160A" w:rsidRDefault="0084160A" w:rsidP="00104D89">
            <w:pPr>
              <w:ind w:left="-30"/>
              <w:rPr>
                <w:b/>
                <w:sz w:val="22"/>
                <w:szCs w:val="22"/>
              </w:rPr>
            </w:pPr>
            <w:r w:rsidRPr="0084160A">
              <w:rPr>
                <w:b/>
                <w:sz w:val="22"/>
                <w:szCs w:val="22"/>
              </w:rPr>
              <w:t>Lp.</w:t>
            </w:r>
          </w:p>
          <w:p w14:paraId="485A2C34" w14:textId="77777777" w:rsidR="0084160A" w:rsidRPr="0084160A" w:rsidRDefault="0084160A" w:rsidP="00104D89">
            <w:pPr>
              <w:ind w:left="-30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65EB21D" w14:textId="77777777" w:rsidR="0084160A" w:rsidRPr="0084160A" w:rsidRDefault="0084160A" w:rsidP="00104D89">
            <w:pPr>
              <w:rPr>
                <w:b/>
                <w:sz w:val="22"/>
                <w:szCs w:val="22"/>
              </w:rPr>
            </w:pPr>
            <w:r w:rsidRPr="0084160A">
              <w:rPr>
                <w:b/>
                <w:sz w:val="22"/>
                <w:szCs w:val="22"/>
              </w:rPr>
              <w:t>CECHA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39E3D99A" w14:textId="77777777" w:rsidR="0084160A" w:rsidRPr="0084160A" w:rsidRDefault="0084160A" w:rsidP="00104D89">
            <w:pPr>
              <w:jc w:val="center"/>
              <w:rPr>
                <w:b/>
                <w:sz w:val="22"/>
                <w:szCs w:val="22"/>
              </w:rPr>
            </w:pPr>
            <w:r w:rsidRPr="0084160A">
              <w:rPr>
                <w:b/>
                <w:sz w:val="22"/>
                <w:szCs w:val="22"/>
              </w:rPr>
              <w:t xml:space="preserve">WYMAGANIA  I PARAMETRY </w:t>
            </w:r>
            <w:r w:rsidRPr="0084160A">
              <w:rPr>
                <w:b/>
                <w:sz w:val="22"/>
                <w:szCs w:val="22"/>
                <w:u w:val="single"/>
              </w:rPr>
              <w:t>MINIMALNE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shd w:val="clear" w:color="auto" w:fill="auto"/>
          </w:tcPr>
          <w:p w14:paraId="751FC554" w14:textId="77777777" w:rsidR="0084160A" w:rsidRPr="0084160A" w:rsidRDefault="0084160A" w:rsidP="00104D89">
            <w:pPr>
              <w:jc w:val="center"/>
              <w:rPr>
                <w:b/>
                <w:sz w:val="22"/>
                <w:szCs w:val="22"/>
              </w:rPr>
            </w:pPr>
            <w:r w:rsidRPr="0084160A">
              <w:rPr>
                <w:b/>
                <w:sz w:val="22"/>
                <w:szCs w:val="22"/>
              </w:rPr>
              <w:t xml:space="preserve">PARAMETRY  I WYPOSAŻENIE </w:t>
            </w:r>
            <w:r w:rsidRPr="0084160A">
              <w:rPr>
                <w:b/>
                <w:sz w:val="22"/>
                <w:szCs w:val="22"/>
                <w:u w:val="single"/>
              </w:rPr>
              <w:t>OFEROWANE</w:t>
            </w:r>
            <w:r w:rsidRPr="0084160A">
              <w:rPr>
                <w:b/>
                <w:sz w:val="22"/>
                <w:szCs w:val="22"/>
              </w:rPr>
              <w:t>*</w:t>
            </w:r>
          </w:p>
        </w:tc>
      </w:tr>
      <w:tr w:rsidR="0084160A" w:rsidRPr="0084160A" w14:paraId="503C2647" w14:textId="77777777" w:rsidTr="00367A5A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24E3F1FA" w14:textId="77777777" w:rsidR="0084160A" w:rsidRPr="0084160A" w:rsidRDefault="0084160A" w:rsidP="00104D89">
            <w:pPr>
              <w:ind w:left="-30"/>
              <w:rPr>
                <w:sz w:val="20"/>
                <w:szCs w:val="20"/>
              </w:rPr>
            </w:pPr>
            <w:r w:rsidRPr="0084160A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7C6B86B" w14:textId="77777777" w:rsidR="0084160A" w:rsidRPr="0084160A" w:rsidRDefault="0084160A" w:rsidP="00104D89">
            <w:pPr>
              <w:rPr>
                <w:snapToGrid w:val="0"/>
                <w:sz w:val="20"/>
                <w:szCs w:val="20"/>
              </w:rPr>
            </w:pPr>
            <w:r w:rsidRPr="0084160A">
              <w:rPr>
                <w:snapToGrid w:val="0"/>
                <w:sz w:val="20"/>
                <w:szCs w:val="20"/>
              </w:rPr>
              <w:t>Nazwa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7D9DCE57" w14:textId="77777777" w:rsidR="0084160A" w:rsidRPr="0084160A" w:rsidRDefault="0084160A" w:rsidP="00104D89">
            <w:pPr>
              <w:rPr>
                <w:snapToGrid w:val="0"/>
                <w:sz w:val="20"/>
                <w:szCs w:val="20"/>
                <w:lang w:val="en-US"/>
              </w:rPr>
            </w:pPr>
            <w:proofErr w:type="spellStart"/>
            <w:r w:rsidRPr="0084160A">
              <w:rPr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  <w:r w:rsidRPr="0084160A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160A">
              <w:rPr>
                <w:snapToGrid w:val="0"/>
                <w:sz w:val="20"/>
                <w:szCs w:val="20"/>
                <w:lang w:val="en-US"/>
              </w:rPr>
              <w:t>nazwę</w:t>
            </w:r>
            <w:proofErr w:type="spellEnd"/>
            <w:r w:rsidRPr="0084160A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160A">
              <w:rPr>
                <w:snapToGrid w:val="0"/>
                <w:sz w:val="20"/>
                <w:szCs w:val="20"/>
                <w:lang w:val="en-US"/>
              </w:rPr>
              <w:t>producenta</w:t>
            </w:r>
            <w:proofErr w:type="spellEnd"/>
            <w:r w:rsidRPr="0084160A">
              <w:rPr>
                <w:snapToGrid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shd w:val="clear" w:color="auto" w:fill="auto"/>
          </w:tcPr>
          <w:p w14:paraId="2A01C7E8" w14:textId="77777777" w:rsidR="0084160A" w:rsidRPr="0084160A" w:rsidRDefault="0084160A" w:rsidP="00104D89">
            <w:pPr>
              <w:jc w:val="center"/>
              <w:rPr>
                <w:sz w:val="20"/>
                <w:szCs w:val="20"/>
              </w:rPr>
            </w:pPr>
          </w:p>
          <w:p w14:paraId="215EE321" w14:textId="77777777" w:rsidR="0084160A" w:rsidRPr="0084160A" w:rsidRDefault="0084160A" w:rsidP="00104D89">
            <w:pPr>
              <w:jc w:val="center"/>
              <w:rPr>
                <w:sz w:val="20"/>
                <w:szCs w:val="20"/>
              </w:rPr>
            </w:pPr>
          </w:p>
        </w:tc>
      </w:tr>
      <w:tr w:rsidR="0084160A" w:rsidRPr="0084160A" w14:paraId="7243D419" w14:textId="77777777" w:rsidTr="00367A5A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2E9561F6" w14:textId="77777777" w:rsidR="0084160A" w:rsidRPr="0084160A" w:rsidRDefault="0084160A" w:rsidP="00104D89">
            <w:pPr>
              <w:ind w:left="-30"/>
              <w:rPr>
                <w:sz w:val="20"/>
                <w:szCs w:val="20"/>
              </w:rPr>
            </w:pPr>
            <w:r w:rsidRPr="0084160A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3DBF0FC" w14:textId="77777777" w:rsidR="0084160A" w:rsidRPr="0084160A" w:rsidRDefault="0084160A" w:rsidP="00104D89">
            <w:pPr>
              <w:rPr>
                <w:snapToGrid w:val="0"/>
                <w:sz w:val="20"/>
                <w:szCs w:val="20"/>
              </w:rPr>
            </w:pPr>
            <w:r w:rsidRPr="0084160A">
              <w:rPr>
                <w:snapToGrid w:val="0"/>
                <w:sz w:val="20"/>
                <w:szCs w:val="20"/>
              </w:rPr>
              <w:t>Model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17B8CC7D" w14:textId="77777777" w:rsidR="0084160A" w:rsidRPr="0084160A" w:rsidRDefault="0084160A" w:rsidP="00104D89">
            <w:pPr>
              <w:rPr>
                <w:snapToGrid w:val="0"/>
                <w:sz w:val="20"/>
                <w:szCs w:val="20"/>
                <w:lang w:val="en-US"/>
              </w:rPr>
            </w:pPr>
            <w:proofErr w:type="spellStart"/>
            <w:r w:rsidRPr="0084160A">
              <w:rPr>
                <w:snapToGrid w:val="0"/>
                <w:sz w:val="20"/>
                <w:szCs w:val="20"/>
                <w:lang w:val="en-US"/>
              </w:rPr>
              <w:t>Podać</w:t>
            </w:r>
            <w:proofErr w:type="spellEnd"/>
            <w:r w:rsidRPr="0084160A">
              <w:rPr>
                <w:snapToGrid w:val="0"/>
                <w:sz w:val="20"/>
                <w:szCs w:val="20"/>
                <w:lang w:val="en-US"/>
              </w:rPr>
              <w:t xml:space="preserve"> Model / </w:t>
            </w:r>
            <w:proofErr w:type="spellStart"/>
            <w:r w:rsidRPr="0084160A">
              <w:rPr>
                <w:snapToGrid w:val="0"/>
                <w:sz w:val="20"/>
                <w:szCs w:val="20"/>
                <w:lang w:val="en-US"/>
              </w:rPr>
              <w:t>Typ</w:t>
            </w:r>
            <w:proofErr w:type="spellEnd"/>
            <w:r w:rsidRPr="0084160A">
              <w:rPr>
                <w:snapToGrid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shd w:val="clear" w:color="auto" w:fill="auto"/>
          </w:tcPr>
          <w:p w14:paraId="2789A231" w14:textId="77777777" w:rsidR="0084160A" w:rsidRPr="0084160A" w:rsidRDefault="0084160A" w:rsidP="00104D89">
            <w:pPr>
              <w:jc w:val="center"/>
              <w:rPr>
                <w:sz w:val="20"/>
                <w:szCs w:val="20"/>
              </w:rPr>
            </w:pPr>
          </w:p>
          <w:p w14:paraId="661FEFEA" w14:textId="77777777" w:rsidR="0084160A" w:rsidRPr="0084160A" w:rsidRDefault="0084160A" w:rsidP="00104D89">
            <w:pPr>
              <w:jc w:val="center"/>
              <w:rPr>
                <w:sz w:val="20"/>
                <w:szCs w:val="20"/>
              </w:rPr>
            </w:pPr>
          </w:p>
        </w:tc>
      </w:tr>
      <w:tr w:rsidR="005F122E" w:rsidRPr="0084160A" w14:paraId="7C6CEC35" w14:textId="77777777" w:rsidTr="00367A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864ED" w14:textId="77777777" w:rsidR="005F122E" w:rsidRPr="0084160A" w:rsidRDefault="005F122E" w:rsidP="00104D89">
            <w:pPr>
              <w:ind w:left="-30"/>
              <w:rPr>
                <w:sz w:val="20"/>
                <w:szCs w:val="20"/>
              </w:rPr>
            </w:pPr>
            <w:r w:rsidRPr="0084160A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4E257" w14:textId="73E5A6A9" w:rsidR="005F122E" w:rsidRPr="0084160A" w:rsidRDefault="005F122E" w:rsidP="00104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Obudowa</w:t>
            </w:r>
          </w:p>
        </w:tc>
        <w:tc>
          <w:tcPr>
            <w:tcW w:w="7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1022B" w14:textId="12E07471" w:rsidR="005F122E" w:rsidRPr="0084160A" w:rsidRDefault="005F122E" w:rsidP="00AA1CEF">
            <w:pPr>
              <w:rPr>
                <w:sz w:val="20"/>
                <w:szCs w:val="20"/>
              </w:rPr>
            </w:pPr>
            <w:r w:rsidRPr="005F122E">
              <w:rPr>
                <w:snapToGrid w:val="0"/>
                <w:sz w:val="20"/>
                <w:szCs w:val="20"/>
              </w:rPr>
              <w:t xml:space="preserve">Obudowa </w:t>
            </w:r>
            <w:proofErr w:type="spellStart"/>
            <w:r w:rsidRPr="005F122E">
              <w:rPr>
                <w:snapToGrid w:val="0"/>
                <w:sz w:val="20"/>
                <w:szCs w:val="20"/>
              </w:rPr>
              <w:t>Rack</w:t>
            </w:r>
            <w:proofErr w:type="spellEnd"/>
            <w:r w:rsidRPr="005F122E">
              <w:rPr>
                <w:snapToGrid w:val="0"/>
                <w:sz w:val="20"/>
                <w:szCs w:val="20"/>
              </w:rPr>
              <w:t xml:space="preserve"> o wysokości </w:t>
            </w:r>
            <w:r w:rsidR="004B6E18">
              <w:rPr>
                <w:snapToGrid w:val="0"/>
                <w:sz w:val="20"/>
                <w:szCs w:val="20"/>
              </w:rPr>
              <w:t>min.</w:t>
            </w:r>
            <w:r w:rsidRPr="005F122E">
              <w:rPr>
                <w:snapToGrid w:val="0"/>
                <w:sz w:val="20"/>
                <w:szCs w:val="20"/>
              </w:rPr>
              <w:t xml:space="preserve"> </w:t>
            </w:r>
            <w:r w:rsidR="006B774E">
              <w:rPr>
                <w:snapToGrid w:val="0"/>
                <w:sz w:val="20"/>
                <w:szCs w:val="20"/>
              </w:rPr>
              <w:t>1</w:t>
            </w:r>
            <w:r w:rsidRPr="005F122E">
              <w:rPr>
                <w:snapToGrid w:val="0"/>
                <w:sz w:val="20"/>
                <w:szCs w:val="20"/>
              </w:rPr>
              <w:t xml:space="preserve">U z możliwością instalacji </w:t>
            </w:r>
            <w:r w:rsidR="007070D6">
              <w:rPr>
                <w:snapToGrid w:val="0"/>
                <w:sz w:val="20"/>
                <w:szCs w:val="20"/>
              </w:rPr>
              <w:t>4</w:t>
            </w:r>
            <w:r w:rsidRPr="005F122E">
              <w:rPr>
                <w:snapToGrid w:val="0"/>
                <w:sz w:val="20"/>
                <w:szCs w:val="20"/>
              </w:rPr>
              <w:t xml:space="preserve"> dysków </w:t>
            </w:r>
            <w:r w:rsidRPr="00676C20">
              <w:rPr>
                <w:snapToGrid w:val="0"/>
                <w:sz w:val="20"/>
                <w:szCs w:val="20"/>
              </w:rPr>
              <w:t>3.5"</w:t>
            </w:r>
            <w:r w:rsidR="000017F7" w:rsidRPr="00676C20">
              <w:rPr>
                <w:snapToGrid w:val="0"/>
                <w:sz w:val="20"/>
                <w:szCs w:val="20"/>
              </w:rPr>
              <w:t xml:space="preserve"> lub 2.5"</w:t>
            </w:r>
            <w:r w:rsidR="000017F7">
              <w:rPr>
                <w:snapToGrid w:val="0"/>
                <w:sz w:val="20"/>
                <w:szCs w:val="20"/>
              </w:rPr>
              <w:t xml:space="preserve"> </w:t>
            </w:r>
            <w:r w:rsidRPr="005F122E">
              <w:rPr>
                <w:snapToGrid w:val="0"/>
                <w:sz w:val="20"/>
                <w:szCs w:val="20"/>
              </w:rPr>
              <w:t xml:space="preserve">Hot-Plug wraz z </w:t>
            </w:r>
            <w:r w:rsidR="00003271" w:rsidRPr="005F122E">
              <w:rPr>
                <w:snapToGrid w:val="0"/>
                <w:sz w:val="20"/>
                <w:szCs w:val="20"/>
              </w:rPr>
              <w:t xml:space="preserve">organizatorem do kabli </w:t>
            </w:r>
            <w:r w:rsidR="00003271">
              <w:rPr>
                <w:snapToGrid w:val="0"/>
                <w:sz w:val="20"/>
                <w:szCs w:val="20"/>
              </w:rPr>
              <w:t xml:space="preserve">oraz </w:t>
            </w:r>
            <w:r w:rsidRPr="005F122E">
              <w:rPr>
                <w:snapToGrid w:val="0"/>
                <w:sz w:val="20"/>
                <w:szCs w:val="20"/>
              </w:rPr>
              <w:t xml:space="preserve">kompletem szyn umożliwiających montaż w szafie </w:t>
            </w:r>
            <w:proofErr w:type="spellStart"/>
            <w:r w:rsidRPr="005F122E">
              <w:rPr>
                <w:snapToGrid w:val="0"/>
                <w:sz w:val="20"/>
                <w:szCs w:val="20"/>
              </w:rPr>
              <w:t>rack</w:t>
            </w:r>
            <w:proofErr w:type="spellEnd"/>
            <w:r w:rsidRPr="005F122E">
              <w:rPr>
                <w:snapToGrid w:val="0"/>
                <w:sz w:val="20"/>
                <w:szCs w:val="20"/>
              </w:rPr>
              <w:t xml:space="preserve"> i wysuwanie serwera do celów serwisowych.</w:t>
            </w:r>
          </w:p>
        </w:tc>
      </w:tr>
      <w:tr w:rsidR="0084160A" w:rsidRPr="0084160A" w14:paraId="48D2A44A" w14:textId="77777777" w:rsidTr="00367A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9D1E" w14:textId="77777777" w:rsidR="0084160A" w:rsidRPr="0084160A" w:rsidRDefault="0084160A" w:rsidP="00104D89">
            <w:pPr>
              <w:ind w:left="-30"/>
              <w:rPr>
                <w:sz w:val="20"/>
                <w:szCs w:val="20"/>
                <w:lang w:val="en-US"/>
              </w:rPr>
            </w:pPr>
            <w:r w:rsidRPr="0084160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8F72" w14:textId="5D83B09D" w:rsidR="0084160A" w:rsidRPr="0084160A" w:rsidRDefault="005F122E" w:rsidP="00104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Płyta główna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7B521" w14:textId="0B408FBD" w:rsidR="0084160A" w:rsidRDefault="005F122E" w:rsidP="00104D89">
            <w:pPr>
              <w:rPr>
                <w:sz w:val="20"/>
                <w:szCs w:val="20"/>
              </w:rPr>
            </w:pPr>
            <w:r w:rsidRPr="005F122E">
              <w:rPr>
                <w:sz w:val="20"/>
                <w:szCs w:val="20"/>
              </w:rPr>
              <w:t xml:space="preserve">Płyta główna z możliwością zainstalowania </w:t>
            </w:r>
            <w:r w:rsidR="001A704D">
              <w:rPr>
                <w:sz w:val="20"/>
                <w:szCs w:val="20"/>
              </w:rPr>
              <w:t xml:space="preserve">min. </w:t>
            </w:r>
            <w:r w:rsidR="007070D6">
              <w:rPr>
                <w:sz w:val="20"/>
                <w:szCs w:val="20"/>
              </w:rPr>
              <w:t>jednego procesora</w:t>
            </w:r>
            <w:r w:rsidRPr="005F122E">
              <w:rPr>
                <w:sz w:val="20"/>
                <w:szCs w:val="20"/>
              </w:rPr>
              <w:t xml:space="preserve">. </w:t>
            </w:r>
          </w:p>
          <w:p w14:paraId="2161D285" w14:textId="3D4F1C91" w:rsidR="005F122E" w:rsidRPr="0084160A" w:rsidRDefault="005F122E" w:rsidP="00104D8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60472" w14:textId="77777777" w:rsidR="0084160A" w:rsidRPr="0084160A" w:rsidRDefault="0084160A" w:rsidP="00104D89">
            <w:pPr>
              <w:jc w:val="center"/>
              <w:rPr>
                <w:sz w:val="20"/>
                <w:szCs w:val="20"/>
              </w:rPr>
            </w:pPr>
          </w:p>
          <w:p w14:paraId="6D7551DE" w14:textId="77777777" w:rsidR="0084160A" w:rsidRPr="0084160A" w:rsidRDefault="0084160A" w:rsidP="00104D89">
            <w:pPr>
              <w:jc w:val="center"/>
              <w:rPr>
                <w:sz w:val="20"/>
                <w:szCs w:val="20"/>
              </w:rPr>
            </w:pPr>
          </w:p>
        </w:tc>
      </w:tr>
      <w:tr w:rsidR="00061C8F" w:rsidRPr="0084160A" w14:paraId="224A3065" w14:textId="77777777" w:rsidTr="00367A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816D" w14:textId="77777777" w:rsidR="00061C8F" w:rsidRPr="0084160A" w:rsidRDefault="00061C8F" w:rsidP="00061C8F">
            <w:pPr>
              <w:ind w:left="-30"/>
              <w:rPr>
                <w:sz w:val="20"/>
                <w:szCs w:val="20"/>
              </w:rPr>
            </w:pPr>
            <w:r w:rsidRPr="0084160A"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0493" w14:textId="7B0ABCAB" w:rsidR="00061C8F" w:rsidRPr="0084160A" w:rsidRDefault="00061C8F" w:rsidP="00061C8F">
            <w:pPr>
              <w:rPr>
                <w:sz w:val="20"/>
                <w:szCs w:val="20"/>
              </w:rPr>
            </w:pPr>
            <w:r w:rsidRPr="005F122E">
              <w:rPr>
                <w:sz w:val="20"/>
                <w:szCs w:val="20"/>
              </w:rPr>
              <w:t>Chipset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E7E7" w14:textId="77777777" w:rsidR="00061C8F" w:rsidRDefault="00061C8F" w:rsidP="00061C8F">
            <w:pPr>
              <w:rPr>
                <w:sz w:val="20"/>
                <w:szCs w:val="20"/>
              </w:rPr>
            </w:pPr>
            <w:r w:rsidRPr="005F122E">
              <w:rPr>
                <w:sz w:val="20"/>
                <w:szCs w:val="20"/>
              </w:rPr>
              <w:t>Dedykowany przez producenta procesora</w:t>
            </w:r>
          </w:p>
          <w:p w14:paraId="338323F1" w14:textId="5C6083C6" w:rsidR="00061C8F" w:rsidRPr="0084160A" w:rsidRDefault="00061C8F" w:rsidP="00061C8F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924B" w14:textId="77777777" w:rsidR="00061C8F" w:rsidRPr="0084160A" w:rsidRDefault="00061C8F" w:rsidP="00061C8F">
            <w:pPr>
              <w:jc w:val="center"/>
              <w:rPr>
                <w:sz w:val="20"/>
                <w:szCs w:val="20"/>
              </w:rPr>
            </w:pPr>
          </w:p>
          <w:p w14:paraId="1C271480" w14:textId="77777777" w:rsidR="00061C8F" w:rsidRPr="0084160A" w:rsidRDefault="00061C8F" w:rsidP="00061C8F">
            <w:pPr>
              <w:jc w:val="center"/>
              <w:rPr>
                <w:sz w:val="20"/>
                <w:szCs w:val="20"/>
              </w:rPr>
            </w:pPr>
          </w:p>
        </w:tc>
      </w:tr>
      <w:tr w:rsidR="00061C8F" w:rsidRPr="0084160A" w14:paraId="59F314D3" w14:textId="77777777" w:rsidTr="00367A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A8A7B" w14:textId="63F9BA74" w:rsidR="00061C8F" w:rsidRPr="0084160A" w:rsidRDefault="00061C8F" w:rsidP="00061C8F">
            <w:pPr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6C3E" w14:textId="12C17D5C" w:rsidR="00061C8F" w:rsidRPr="005F122E" w:rsidRDefault="00061C8F" w:rsidP="00061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Procesor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F9D5" w14:textId="41D988AF" w:rsidR="00061C8F" w:rsidRDefault="00061C8F" w:rsidP="00061C8F">
            <w:pPr>
              <w:rPr>
                <w:sz w:val="20"/>
                <w:szCs w:val="20"/>
              </w:rPr>
            </w:pPr>
            <w:r w:rsidRPr="005F122E">
              <w:rPr>
                <w:sz w:val="20"/>
                <w:szCs w:val="20"/>
              </w:rPr>
              <w:t>Zainstalowan</w:t>
            </w:r>
            <w:r>
              <w:rPr>
                <w:sz w:val="20"/>
                <w:szCs w:val="20"/>
              </w:rPr>
              <w:t>y</w:t>
            </w:r>
            <w:r w:rsidR="00254196">
              <w:rPr>
                <w:sz w:val="20"/>
                <w:szCs w:val="20"/>
              </w:rPr>
              <w:t xml:space="preserve"> </w:t>
            </w:r>
            <w:r w:rsidRPr="005F122E">
              <w:rPr>
                <w:sz w:val="20"/>
                <w:szCs w:val="20"/>
              </w:rPr>
              <w:t xml:space="preserve">procesor </w:t>
            </w:r>
            <w:r>
              <w:rPr>
                <w:sz w:val="20"/>
                <w:szCs w:val="20"/>
              </w:rPr>
              <w:t>sześciordzeniowy</w:t>
            </w:r>
            <w:r w:rsidRPr="005F122E">
              <w:rPr>
                <w:sz w:val="20"/>
                <w:szCs w:val="20"/>
              </w:rPr>
              <w:t xml:space="preserve"> klasy x86, dedykowan</w:t>
            </w:r>
            <w:r>
              <w:rPr>
                <w:sz w:val="20"/>
                <w:szCs w:val="20"/>
              </w:rPr>
              <w:t>y</w:t>
            </w:r>
            <w:r w:rsidRPr="005F122E">
              <w:rPr>
                <w:sz w:val="20"/>
                <w:szCs w:val="20"/>
              </w:rPr>
              <w:t xml:space="preserve"> do pracy z zaoferowanym serwerem umożliwiając</w:t>
            </w:r>
            <w:r>
              <w:rPr>
                <w:sz w:val="20"/>
                <w:szCs w:val="20"/>
              </w:rPr>
              <w:t>y</w:t>
            </w:r>
            <w:r w:rsidRPr="005F122E">
              <w:rPr>
                <w:sz w:val="20"/>
                <w:szCs w:val="20"/>
              </w:rPr>
              <w:t xml:space="preserve"> osiągnięcie wyniku min. </w:t>
            </w:r>
            <w:r>
              <w:rPr>
                <w:sz w:val="20"/>
                <w:szCs w:val="20"/>
              </w:rPr>
              <w:t xml:space="preserve">35 </w:t>
            </w:r>
            <w:r w:rsidRPr="00EE27E2">
              <w:rPr>
                <w:sz w:val="20"/>
                <w:szCs w:val="20"/>
              </w:rPr>
              <w:t>w teście SPECrate2017_int_base dostępnym na stronie www.spec.org.</w:t>
            </w:r>
          </w:p>
          <w:p w14:paraId="7B288560" w14:textId="2EB99D1C" w:rsidR="00061C8F" w:rsidRPr="005F122E" w:rsidRDefault="00061C8F" w:rsidP="00061C8F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1A1A5" w14:textId="77777777" w:rsidR="00061C8F" w:rsidRPr="0084160A" w:rsidRDefault="00061C8F" w:rsidP="00061C8F">
            <w:pPr>
              <w:jc w:val="center"/>
              <w:rPr>
                <w:sz w:val="20"/>
                <w:szCs w:val="20"/>
              </w:rPr>
            </w:pPr>
          </w:p>
        </w:tc>
      </w:tr>
      <w:tr w:rsidR="00061C8F" w:rsidRPr="00FF4725" w14:paraId="5A6A803A" w14:textId="77777777" w:rsidTr="00367A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3322" w14:textId="77777777" w:rsidR="00061C8F" w:rsidRPr="0084160A" w:rsidRDefault="00061C8F" w:rsidP="00061C8F">
            <w:pPr>
              <w:ind w:left="-30"/>
              <w:rPr>
                <w:sz w:val="20"/>
                <w:szCs w:val="20"/>
              </w:rPr>
            </w:pPr>
            <w:r w:rsidRPr="0084160A"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5539" w14:textId="39D26864" w:rsidR="00061C8F" w:rsidRPr="0084160A" w:rsidRDefault="00061C8F" w:rsidP="00061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F14F" w14:textId="1FAE7169" w:rsidR="00061C8F" w:rsidRPr="00570892" w:rsidRDefault="00061C8F" w:rsidP="00061C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</w:t>
            </w:r>
            <w:r w:rsidRPr="00EE27E2">
              <w:rPr>
                <w:sz w:val="20"/>
                <w:szCs w:val="20"/>
                <w:lang w:val="en-US"/>
              </w:rPr>
              <w:t>GB</w:t>
            </w:r>
            <w:r w:rsidRPr="00570892">
              <w:rPr>
                <w:sz w:val="20"/>
                <w:szCs w:val="20"/>
                <w:lang w:val="en-US"/>
              </w:rPr>
              <w:t xml:space="preserve"> DDR4 2666MT/s, </w:t>
            </w:r>
          </w:p>
          <w:p w14:paraId="43125C8D" w14:textId="094A2745" w:rsidR="00061C8F" w:rsidRPr="002333A4" w:rsidRDefault="00061C8F" w:rsidP="00061C8F">
            <w:pPr>
              <w:rPr>
                <w:strike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55D4" w14:textId="77777777" w:rsidR="00061C8F" w:rsidRPr="002333A4" w:rsidRDefault="00061C8F" w:rsidP="00061C8F">
            <w:pPr>
              <w:rPr>
                <w:sz w:val="20"/>
                <w:szCs w:val="20"/>
                <w:lang w:val="en-US"/>
              </w:rPr>
            </w:pPr>
          </w:p>
        </w:tc>
      </w:tr>
      <w:tr w:rsidR="00061C8F" w:rsidRPr="005F122E" w14:paraId="7BFA29F3" w14:textId="77777777" w:rsidTr="00367A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EEB1" w14:textId="7F1EE37E" w:rsidR="00061C8F" w:rsidRPr="0084160A" w:rsidRDefault="000017F7" w:rsidP="00061C8F">
            <w:pPr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7E7C0" w14:textId="6953318A" w:rsidR="00061C8F" w:rsidRPr="005F122E" w:rsidRDefault="00061C8F" w:rsidP="00061C8F">
            <w:pPr>
              <w:rPr>
                <w:sz w:val="20"/>
                <w:szCs w:val="20"/>
              </w:rPr>
            </w:pPr>
            <w:r w:rsidRPr="005F122E">
              <w:rPr>
                <w:sz w:val="20"/>
                <w:szCs w:val="20"/>
              </w:rPr>
              <w:t>Interfejsy sieciowe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9FF31" w14:textId="7BD07296" w:rsidR="00061C8F" w:rsidRPr="00A63AF8" w:rsidRDefault="00EC7369" w:rsidP="00061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</w:t>
            </w:r>
            <w:r w:rsidR="00061C8F" w:rsidRPr="00A63AF8">
              <w:rPr>
                <w:sz w:val="20"/>
                <w:szCs w:val="20"/>
              </w:rPr>
              <w:t xml:space="preserve"> </w:t>
            </w:r>
            <w:r w:rsidR="00161F72" w:rsidRPr="00A63AF8">
              <w:rPr>
                <w:sz w:val="20"/>
                <w:szCs w:val="20"/>
              </w:rPr>
              <w:t xml:space="preserve">8 </w:t>
            </w:r>
            <w:r w:rsidR="00061C8F" w:rsidRPr="00A63AF8">
              <w:rPr>
                <w:sz w:val="20"/>
                <w:szCs w:val="20"/>
              </w:rPr>
              <w:t xml:space="preserve">interfejsów sieciowych 1GbE RJ45 w standardzie </w:t>
            </w:r>
            <w:proofErr w:type="spellStart"/>
            <w:r w:rsidR="00061C8F" w:rsidRPr="00A63AF8">
              <w:rPr>
                <w:sz w:val="20"/>
                <w:szCs w:val="20"/>
              </w:rPr>
              <w:t>BaseT</w:t>
            </w:r>
            <w:proofErr w:type="spellEnd"/>
            <w:r w:rsidR="00061C8F" w:rsidRPr="00A63AF8">
              <w:rPr>
                <w:sz w:val="20"/>
                <w:szCs w:val="20"/>
              </w:rPr>
              <w:t xml:space="preserve">, </w:t>
            </w:r>
          </w:p>
          <w:p w14:paraId="01C14614" w14:textId="77777777" w:rsidR="00061C8F" w:rsidRPr="00A63AF8" w:rsidRDefault="00061C8F" w:rsidP="00061C8F">
            <w:pPr>
              <w:rPr>
                <w:sz w:val="20"/>
                <w:szCs w:val="20"/>
              </w:rPr>
            </w:pPr>
          </w:p>
          <w:p w14:paraId="6CF2765B" w14:textId="02725826" w:rsidR="00061C8F" w:rsidRPr="00A63AF8" w:rsidRDefault="00061C8F" w:rsidP="00061C8F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7772" w14:textId="08230F4A" w:rsidR="00061C8F" w:rsidRPr="00EF0430" w:rsidRDefault="00061C8F" w:rsidP="00061C8F">
            <w:pPr>
              <w:rPr>
                <w:sz w:val="20"/>
                <w:szCs w:val="20"/>
              </w:rPr>
            </w:pPr>
          </w:p>
        </w:tc>
      </w:tr>
      <w:tr w:rsidR="00061C8F" w:rsidRPr="005F122E" w14:paraId="40A9A610" w14:textId="77777777" w:rsidTr="00367A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23B3" w14:textId="5CEFA0D1" w:rsidR="00061C8F" w:rsidRPr="0084160A" w:rsidRDefault="000017F7" w:rsidP="00061C8F">
            <w:pPr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7A7F" w14:textId="3CC4CF9F" w:rsidR="00061C8F" w:rsidRPr="005F122E" w:rsidRDefault="00061C8F" w:rsidP="00061C8F">
            <w:pPr>
              <w:rPr>
                <w:sz w:val="20"/>
                <w:szCs w:val="20"/>
              </w:rPr>
            </w:pPr>
            <w:proofErr w:type="spellStart"/>
            <w:r w:rsidRPr="005F122E">
              <w:rPr>
                <w:sz w:val="20"/>
                <w:szCs w:val="20"/>
              </w:rPr>
              <w:t>Sloty</w:t>
            </w:r>
            <w:proofErr w:type="spellEnd"/>
            <w:r w:rsidRPr="005F122E">
              <w:rPr>
                <w:sz w:val="20"/>
                <w:szCs w:val="20"/>
              </w:rPr>
              <w:t xml:space="preserve"> </w:t>
            </w:r>
            <w:proofErr w:type="spellStart"/>
            <w:r w:rsidRPr="005F122E">
              <w:rPr>
                <w:sz w:val="20"/>
                <w:szCs w:val="20"/>
              </w:rPr>
              <w:t>PCIe</w:t>
            </w:r>
            <w:proofErr w:type="spellEnd"/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3D16" w14:textId="5C72188C" w:rsidR="00061C8F" w:rsidRDefault="00061C8F" w:rsidP="00061C8F">
            <w:pPr>
              <w:rPr>
                <w:sz w:val="20"/>
                <w:szCs w:val="20"/>
              </w:rPr>
            </w:pPr>
            <w:r w:rsidRPr="005F122E">
              <w:rPr>
                <w:sz w:val="20"/>
                <w:szCs w:val="20"/>
              </w:rPr>
              <w:t xml:space="preserve">Min. </w:t>
            </w:r>
            <w:r>
              <w:rPr>
                <w:sz w:val="20"/>
                <w:szCs w:val="20"/>
              </w:rPr>
              <w:t>2</w:t>
            </w:r>
            <w:r w:rsidRPr="005F122E">
              <w:rPr>
                <w:sz w:val="20"/>
                <w:szCs w:val="20"/>
              </w:rPr>
              <w:t xml:space="preserve"> </w:t>
            </w:r>
            <w:proofErr w:type="spellStart"/>
            <w:r w:rsidRPr="005F122E">
              <w:rPr>
                <w:sz w:val="20"/>
                <w:szCs w:val="20"/>
              </w:rPr>
              <w:t>slot</w:t>
            </w:r>
            <w:r>
              <w:rPr>
                <w:sz w:val="20"/>
                <w:szCs w:val="20"/>
              </w:rPr>
              <w:t>y</w:t>
            </w:r>
            <w:proofErr w:type="spellEnd"/>
            <w:r w:rsidRPr="005F122E">
              <w:rPr>
                <w:sz w:val="20"/>
                <w:szCs w:val="20"/>
              </w:rPr>
              <w:t xml:space="preserve"> </w:t>
            </w:r>
            <w:proofErr w:type="spellStart"/>
            <w:r w:rsidRPr="005F122E">
              <w:rPr>
                <w:sz w:val="20"/>
                <w:szCs w:val="20"/>
              </w:rPr>
              <w:t>PCIe</w:t>
            </w:r>
            <w:proofErr w:type="spellEnd"/>
            <w:r w:rsidRPr="005F122E">
              <w:rPr>
                <w:sz w:val="20"/>
                <w:szCs w:val="20"/>
              </w:rPr>
              <w:t xml:space="preserve"> generacji 3</w:t>
            </w:r>
          </w:p>
          <w:p w14:paraId="2D262657" w14:textId="78A8B52B" w:rsidR="00061C8F" w:rsidRPr="005F122E" w:rsidRDefault="00061C8F" w:rsidP="00061C8F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A708" w14:textId="77777777" w:rsidR="00061C8F" w:rsidRPr="005F122E" w:rsidRDefault="00061C8F" w:rsidP="00061C8F">
            <w:pPr>
              <w:rPr>
                <w:sz w:val="20"/>
                <w:szCs w:val="20"/>
              </w:rPr>
            </w:pPr>
          </w:p>
        </w:tc>
      </w:tr>
      <w:tr w:rsidR="00061C8F" w:rsidRPr="000017F7" w14:paraId="365D6D0A" w14:textId="77777777" w:rsidTr="00367A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A6EA" w14:textId="4ECD36F9" w:rsidR="00061C8F" w:rsidRPr="0084160A" w:rsidRDefault="00061C8F" w:rsidP="00061C8F">
            <w:pPr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17F7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0573" w14:textId="1E4E7D95" w:rsidR="00061C8F" w:rsidRPr="005F122E" w:rsidRDefault="00061C8F" w:rsidP="00061C8F">
            <w:pPr>
              <w:rPr>
                <w:sz w:val="20"/>
                <w:szCs w:val="20"/>
              </w:rPr>
            </w:pPr>
            <w:r w:rsidRPr="005F122E">
              <w:rPr>
                <w:sz w:val="20"/>
                <w:szCs w:val="20"/>
              </w:rPr>
              <w:t>Dyski twarde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1A52" w14:textId="40C64EDA" w:rsidR="00061C8F" w:rsidRDefault="00061C8F" w:rsidP="00061C8F">
            <w:pPr>
              <w:rPr>
                <w:sz w:val="20"/>
                <w:szCs w:val="20"/>
              </w:rPr>
            </w:pPr>
            <w:r w:rsidRPr="005F122E">
              <w:rPr>
                <w:sz w:val="20"/>
                <w:szCs w:val="20"/>
              </w:rPr>
              <w:t>Możliwość instalacji dysków SATA, SAS, SSD</w:t>
            </w:r>
          </w:p>
          <w:p w14:paraId="6BF07394" w14:textId="77777777" w:rsidR="00061C8F" w:rsidRPr="005F122E" w:rsidRDefault="00061C8F" w:rsidP="00061C8F">
            <w:pPr>
              <w:rPr>
                <w:sz w:val="20"/>
                <w:szCs w:val="20"/>
              </w:rPr>
            </w:pPr>
          </w:p>
          <w:p w14:paraId="3CC3D49B" w14:textId="3FC01813" w:rsidR="00061C8F" w:rsidRPr="005F122E" w:rsidRDefault="00061C8F" w:rsidP="00061C8F">
            <w:pPr>
              <w:rPr>
                <w:sz w:val="20"/>
                <w:szCs w:val="20"/>
              </w:rPr>
            </w:pPr>
            <w:r w:rsidRPr="005F122E">
              <w:rPr>
                <w:sz w:val="20"/>
                <w:szCs w:val="20"/>
              </w:rPr>
              <w:t>Zainstalowane dyski:</w:t>
            </w:r>
          </w:p>
          <w:p w14:paraId="4B9CC739" w14:textId="1CB0339F" w:rsidR="00061C8F" w:rsidRPr="002A4946" w:rsidRDefault="00061C8F" w:rsidP="00061C8F">
            <w:pPr>
              <w:rPr>
                <w:sz w:val="20"/>
                <w:szCs w:val="20"/>
              </w:rPr>
            </w:pPr>
            <w:r w:rsidRPr="002A4946">
              <w:rPr>
                <w:sz w:val="20"/>
                <w:szCs w:val="20"/>
              </w:rPr>
              <w:t>3x600GB SAS 12Gb/s Hot-Plug 3,5“</w:t>
            </w:r>
            <w:r w:rsidR="000017F7" w:rsidRPr="002A4946">
              <w:rPr>
                <w:sz w:val="20"/>
                <w:szCs w:val="20"/>
              </w:rPr>
              <w:t xml:space="preserve"> lub 2,5“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3BA42" w14:textId="77777777" w:rsidR="00061C8F" w:rsidRPr="002A4946" w:rsidRDefault="00061C8F" w:rsidP="00061C8F">
            <w:pPr>
              <w:rPr>
                <w:sz w:val="20"/>
                <w:szCs w:val="20"/>
              </w:rPr>
            </w:pPr>
          </w:p>
        </w:tc>
      </w:tr>
      <w:tr w:rsidR="00061C8F" w:rsidRPr="005F122E" w14:paraId="15A6E724" w14:textId="77777777" w:rsidTr="00367A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4301" w14:textId="16F86F64" w:rsidR="00061C8F" w:rsidRPr="0084160A" w:rsidRDefault="00061C8F" w:rsidP="00061C8F">
            <w:pPr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17F7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B5FE5" w14:textId="6C55B80F" w:rsidR="00061C8F" w:rsidRPr="005F122E" w:rsidRDefault="00061C8F" w:rsidP="00061C8F">
            <w:pPr>
              <w:rPr>
                <w:sz w:val="20"/>
                <w:szCs w:val="20"/>
              </w:rPr>
            </w:pPr>
            <w:r w:rsidRPr="005F122E">
              <w:rPr>
                <w:sz w:val="20"/>
                <w:szCs w:val="20"/>
              </w:rPr>
              <w:t>Napęd optyczny</w:t>
            </w:r>
          </w:p>
        </w:tc>
        <w:tc>
          <w:tcPr>
            <w:tcW w:w="7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66366" w14:textId="50258E4D" w:rsidR="00061C8F" w:rsidRDefault="00061C8F" w:rsidP="00061C8F">
            <w:pPr>
              <w:rPr>
                <w:sz w:val="20"/>
                <w:szCs w:val="20"/>
              </w:rPr>
            </w:pPr>
            <w:r w:rsidRPr="005F122E">
              <w:rPr>
                <w:sz w:val="20"/>
                <w:szCs w:val="20"/>
              </w:rPr>
              <w:t>Wbudowany napęd DVD +/- RW</w:t>
            </w:r>
          </w:p>
          <w:p w14:paraId="06416406" w14:textId="77777777" w:rsidR="00061C8F" w:rsidRPr="005F122E" w:rsidRDefault="00061C8F" w:rsidP="00061C8F">
            <w:pPr>
              <w:rPr>
                <w:sz w:val="20"/>
                <w:szCs w:val="20"/>
              </w:rPr>
            </w:pPr>
          </w:p>
        </w:tc>
      </w:tr>
      <w:tr w:rsidR="00061C8F" w:rsidRPr="005F122E" w14:paraId="0D93B24B" w14:textId="77777777" w:rsidTr="00367A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C9CAE" w14:textId="545EA8B2" w:rsidR="00061C8F" w:rsidRPr="0084160A" w:rsidRDefault="00061C8F" w:rsidP="00061C8F">
            <w:pPr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17F7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7049" w14:textId="36C02CCE" w:rsidR="00061C8F" w:rsidRPr="005F122E" w:rsidRDefault="00061C8F" w:rsidP="00061C8F">
            <w:pPr>
              <w:rPr>
                <w:sz w:val="20"/>
                <w:szCs w:val="20"/>
              </w:rPr>
            </w:pPr>
            <w:r w:rsidRPr="005F122E">
              <w:rPr>
                <w:sz w:val="20"/>
                <w:szCs w:val="20"/>
              </w:rPr>
              <w:t>Kontroler RAID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79FBF" w14:textId="7D24395E" w:rsidR="00061C8F" w:rsidRPr="005F122E" w:rsidRDefault="00061C8F" w:rsidP="00061C8F">
            <w:pPr>
              <w:rPr>
                <w:sz w:val="20"/>
                <w:szCs w:val="20"/>
              </w:rPr>
            </w:pPr>
            <w:r w:rsidRPr="005F122E">
              <w:rPr>
                <w:sz w:val="20"/>
                <w:szCs w:val="20"/>
              </w:rPr>
              <w:t>Sprzętowy kontroler dyskowy posiadający min. 2GB nieulotnej pamięci cache, umożliwiający konfigurację poziomów RAID: 0, 1, 5, 6, 10, 50, 60.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4CB7" w14:textId="77777777" w:rsidR="00061C8F" w:rsidRPr="005F122E" w:rsidRDefault="00061C8F" w:rsidP="00061C8F">
            <w:pPr>
              <w:rPr>
                <w:sz w:val="20"/>
                <w:szCs w:val="20"/>
              </w:rPr>
            </w:pPr>
          </w:p>
        </w:tc>
      </w:tr>
      <w:tr w:rsidR="00061C8F" w:rsidRPr="005F122E" w14:paraId="0F8CF9BB" w14:textId="77777777" w:rsidTr="00367A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C408" w14:textId="51829C76" w:rsidR="00061C8F" w:rsidRPr="0084160A" w:rsidRDefault="00061C8F" w:rsidP="00061C8F">
            <w:pPr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17F7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A35CE" w14:textId="7DADBF64" w:rsidR="00061C8F" w:rsidRPr="005F122E" w:rsidRDefault="00061C8F" w:rsidP="00061C8F">
            <w:pPr>
              <w:rPr>
                <w:sz w:val="20"/>
                <w:szCs w:val="20"/>
              </w:rPr>
            </w:pPr>
            <w:r w:rsidRPr="005F122E">
              <w:rPr>
                <w:sz w:val="20"/>
                <w:szCs w:val="20"/>
              </w:rPr>
              <w:t>Wbudowane porty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9C97" w14:textId="77777777" w:rsidR="00F551B6" w:rsidRDefault="00061C8F" w:rsidP="000017F7">
            <w:pPr>
              <w:rPr>
                <w:sz w:val="20"/>
                <w:szCs w:val="20"/>
              </w:rPr>
            </w:pPr>
            <w:r w:rsidRPr="00444295">
              <w:rPr>
                <w:sz w:val="20"/>
                <w:szCs w:val="20"/>
              </w:rPr>
              <w:t>Przednie</w:t>
            </w:r>
            <w:r w:rsidRPr="005F122E">
              <w:rPr>
                <w:sz w:val="20"/>
                <w:szCs w:val="20"/>
              </w:rPr>
              <w:t>: min. 1x USB 2.0,</w:t>
            </w:r>
            <w:r w:rsidR="000017F7">
              <w:rPr>
                <w:sz w:val="20"/>
                <w:szCs w:val="20"/>
              </w:rPr>
              <w:t xml:space="preserve"> </w:t>
            </w:r>
          </w:p>
          <w:p w14:paraId="4BEF03F1" w14:textId="154A3D05" w:rsidR="00061C8F" w:rsidRPr="005F122E" w:rsidRDefault="00061C8F" w:rsidP="000017F7">
            <w:pPr>
              <w:rPr>
                <w:sz w:val="20"/>
                <w:szCs w:val="20"/>
              </w:rPr>
            </w:pPr>
            <w:r w:rsidRPr="005F122E">
              <w:rPr>
                <w:sz w:val="20"/>
                <w:szCs w:val="20"/>
              </w:rPr>
              <w:t>Tylne: min. 1x VGA, min. 2x USB 3.0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701CE" w14:textId="77777777" w:rsidR="00061C8F" w:rsidRPr="005F122E" w:rsidRDefault="00061C8F" w:rsidP="00061C8F">
            <w:pPr>
              <w:rPr>
                <w:sz w:val="20"/>
                <w:szCs w:val="20"/>
              </w:rPr>
            </w:pPr>
          </w:p>
        </w:tc>
      </w:tr>
      <w:tr w:rsidR="00061C8F" w:rsidRPr="005F122E" w14:paraId="00CEB4D3" w14:textId="77777777" w:rsidTr="00367A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9611" w14:textId="50277E68" w:rsidR="00061C8F" w:rsidRPr="0084160A" w:rsidRDefault="00061C8F" w:rsidP="00061C8F">
            <w:pPr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17F7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BBC88" w14:textId="0DA7E7EF" w:rsidR="00061C8F" w:rsidRPr="005F122E" w:rsidRDefault="00061C8F" w:rsidP="00061C8F">
            <w:pPr>
              <w:rPr>
                <w:sz w:val="20"/>
                <w:szCs w:val="20"/>
              </w:rPr>
            </w:pPr>
            <w:r w:rsidRPr="005F122E">
              <w:rPr>
                <w:sz w:val="20"/>
                <w:szCs w:val="20"/>
              </w:rPr>
              <w:t>Video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0C6E" w14:textId="77777777" w:rsidR="00061C8F" w:rsidRDefault="00061C8F" w:rsidP="00061C8F">
            <w:pPr>
              <w:rPr>
                <w:sz w:val="20"/>
                <w:szCs w:val="20"/>
              </w:rPr>
            </w:pPr>
            <w:r w:rsidRPr="005F122E">
              <w:rPr>
                <w:sz w:val="20"/>
                <w:szCs w:val="20"/>
              </w:rPr>
              <w:t>Zintegrowana karta graficzna</w:t>
            </w:r>
          </w:p>
          <w:p w14:paraId="57DC6347" w14:textId="4BC4A3FD" w:rsidR="00911704" w:rsidRPr="005F122E" w:rsidRDefault="00911704" w:rsidP="00061C8F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98BA3" w14:textId="77777777" w:rsidR="00061C8F" w:rsidRPr="005F122E" w:rsidRDefault="00061C8F" w:rsidP="00061C8F">
            <w:pPr>
              <w:rPr>
                <w:sz w:val="20"/>
                <w:szCs w:val="20"/>
              </w:rPr>
            </w:pPr>
          </w:p>
        </w:tc>
      </w:tr>
      <w:tr w:rsidR="00061C8F" w:rsidRPr="005F122E" w14:paraId="1C857E2D" w14:textId="77777777" w:rsidTr="00367A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27C4" w14:textId="45376F3A" w:rsidR="00061C8F" w:rsidRPr="0084160A" w:rsidRDefault="00061C8F" w:rsidP="00061C8F">
            <w:pPr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17F7"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7E0C" w14:textId="236717AF" w:rsidR="00061C8F" w:rsidRPr="005F122E" w:rsidRDefault="00061C8F" w:rsidP="00061C8F">
            <w:pPr>
              <w:rPr>
                <w:sz w:val="20"/>
                <w:szCs w:val="20"/>
              </w:rPr>
            </w:pPr>
            <w:r w:rsidRPr="00094516">
              <w:rPr>
                <w:sz w:val="20"/>
                <w:szCs w:val="20"/>
              </w:rPr>
              <w:t>Wentylatory</w:t>
            </w:r>
          </w:p>
        </w:tc>
        <w:tc>
          <w:tcPr>
            <w:tcW w:w="7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51C6" w14:textId="77777777" w:rsidR="00061C8F" w:rsidRDefault="00061C8F" w:rsidP="00061C8F">
            <w:pPr>
              <w:rPr>
                <w:sz w:val="20"/>
                <w:szCs w:val="20"/>
              </w:rPr>
            </w:pPr>
            <w:r w:rsidRPr="00094516">
              <w:rPr>
                <w:sz w:val="20"/>
                <w:szCs w:val="20"/>
              </w:rPr>
              <w:t>Redundantne</w:t>
            </w:r>
          </w:p>
          <w:p w14:paraId="5341C092" w14:textId="7F64BF06" w:rsidR="00061C8F" w:rsidRPr="005F122E" w:rsidRDefault="00061C8F" w:rsidP="00061C8F">
            <w:pPr>
              <w:rPr>
                <w:sz w:val="20"/>
                <w:szCs w:val="20"/>
              </w:rPr>
            </w:pPr>
          </w:p>
        </w:tc>
      </w:tr>
      <w:tr w:rsidR="00061C8F" w:rsidRPr="005F122E" w14:paraId="0F731176" w14:textId="77777777" w:rsidTr="00367A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D7330" w14:textId="3CA731EB" w:rsidR="00061C8F" w:rsidRPr="0084160A" w:rsidRDefault="00061C8F" w:rsidP="00061C8F">
            <w:pPr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17F7"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DF04" w14:textId="5400463C" w:rsidR="00061C8F" w:rsidRPr="005F122E" w:rsidRDefault="00EC7369" w:rsidP="00061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Wbudowane z</w:t>
            </w:r>
            <w:r w:rsidR="00061C8F" w:rsidRPr="00094516">
              <w:rPr>
                <w:sz w:val="20"/>
                <w:szCs w:val="20"/>
              </w:rPr>
              <w:t>asilacze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0697B" w14:textId="137D111B" w:rsidR="00061C8F" w:rsidRPr="005F122E" w:rsidRDefault="00061C8F" w:rsidP="00061C8F">
            <w:pPr>
              <w:rPr>
                <w:sz w:val="20"/>
                <w:szCs w:val="20"/>
              </w:rPr>
            </w:pPr>
            <w:r w:rsidRPr="00094516">
              <w:rPr>
                <w:sz w:val="20"/>
                <w:szCs w:val="20"/>
              </w:rPr>
              <w:t xml:space="preserve">Redundantne, </w:t>
            </w:r>
            <w:r w:rsidR="00EC7369">
              <w:rPr>
                <w:sz w:val="20"/>
                <w:szCs w:val="20"/>
              </w:rPr>
              <w:t xml:space="preserve">2x </w:t>
            </w:r>
            <w:r w:rsidRPr="00094516">
              <w:rPr>
                <w:sz w:val="20"/>
                <w:szCs w:val="20"/>
              </w:rPr>
              <w:t xml:space="preserve">Hot-Plug </w:t>
            </w:r>
            <w:r w:rsidR="00853926" w:rsidRPr="00EC7369">
              <w:rPr>
                <w:sz w:val="20"/>
                <w:szCs w:val="20"/>
              </w:rPr>
              <w:t>min.</w:t>
            </w:r>
            <w:r w:rsidRPr="00094516">
              <w:rPr>
                <w:sz w:val="20"/>
                <w:szCs w:val="20"/>
              </w:rPr>
              <w:t xml:space="preserve"> </w:t>
            </w:r>
            <w:r w:rsidR="001E2332">
              <w:rPr>
                <w:sz w:val="20"/>
                <w:szCs w:val="20"/>
              </w:rPr>
              <w:t>5</w:t>
            </w:r>
            <w:r w:rsidR="00667733">
              <w:rPr>
                <w:sz w:val="20"/>
                <w:szCs w:val="20"/>
              </w:rPr>
              <w:t>0</w:t>
            </w:r>
            <w:r w:rsidR="001E2332">
              <w:rPr>
                <w:sz w:val="20"/>
                <w:szCs w:val="20"/>
              </w:rPr>
              <w:t>0</w:t>
            </w:r>
            <w:r w:rsidRPr="00094516">
              <w:rPr>
                <w:sz w:val="20"/>
                <w:szCs w:val="20"/>
              </w:rPr>
              <w:t>W każdy z dedykowanymi przewodami zasilającymi.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6309" w14:textId="77777777" w:rsidR="00061C8F" w:rsidRPr="005F122E" w:rsidRDefault="00061C8F" w:rsidP="00061C8F">
            <w:pPr>
              <w:rPr>
                <w:sz w:val="20"/>
                <w:szCs w:val="20"/>
              </w:rPr>
            </w:pPr>
          </w:p>
        </w:tc>
      </w:tr>
      <w:tr w:rsidR="00061C8F" w:rsidRPr="005F122E" w14:paraId="494F0EFB" w14:textId="77777777" w:rsidTr="00367A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C789" w14:textId="70245072" w:rsidR="00061C8F" w:rsidRPr="0084160A" w:rsidRDefault="000017F7" w:rsidP="00061C8F">
            <w:pPr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1FB3"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C5DC" w14:textId="4E46FB18" w:rsidR="00061C8F" w:rsidRPr="005F122E" w:rsidRDefault="00061C8F" w:rsidP="00061C8F">
            <w:pPr>
              <w:rPr>
                <w:sz w:val="20"/>
                <w:szCs w:val="20"/>
              </w:rPr>
            </w:pPr>
            <w:r w:rsidRPr="00094516">
              <w:rPr>
                <w:sz w:val="20"/>
                <w:szCs w:val="20"/>
              </w:rPr>
              <w:t>Karta Zarządzania</w:t>
            </w:r>
          </w:p>
        </w:tc>
        <w:tc>
          <w:tcPr>
            <w:tcW w:w="7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E2044" w14:textId="77777777" w:rsidR="00061C8F" w:rsidRPr="007428E3" w:rsidRDefault="00061C8F" w:rsidP="00061C8F">
            <w:pPr>
              <w:rPr>
                <w:sz w:val="20"/>
                <w:szCs w:val="20"/>
              </w:rPr>
            </w:pPr>
            <w:r w:rsidRPr="007428E3">
              <w:rPr>
                <w:sz w:val="20"/>
                <w:szCs w:val="20"/>
              </w:rPr>
              <w:t>Niezależna od zainstalowanego na serwerze systemu operacyjnego posiadająca dedykowany port Gigabit Ethernet RJ-45 i umożliwiająca:</w:t>
            </w:r>
          </w:p>
          <w:p w14:paraId="44F8D327" w14:textId="0901CC54" w:rsidR="00061C8F" w:rsidRPr="007428E3" w:rsidRDefault="00061C8F" w:rsidP="00061C8F">
            <w:pPr>
              <w:rPr>
                <w:sz w:val="20"/>
                <w:szCs w:val="20"/>
              </w:rPr>
            </w:pPr>
            <w:r w:rsidRPr="007428E3">
              <w:rPr>
                <w:sz w:val="20"/>
                <w:szCs w:val="20"/>
              </w:rPr>
              <w:t>- zdalny dostęp do graficznego interfejsu Web karty zarządzającej;</w:t>
            </w:r>
          </w:p>
          <w:p w14:paraId="18C96227" w14:textId="4E4072D1" w:rsidR="00061C8F" w:rsidRPr="007428E3" w:rsidRDefault="00061C8F" w:rsidP="00061C8F">
            <w:pPr>
              <w:rPr>
                <w:sz w:val="20"/>
                <w:szCs w:val="20"/>
              </w:rPr>
            </w:pPr>
            <w:r w:rsidRPr="007428E3">
              <w:rPr>
                <w:sz w:val="20"/>
                <w:szCs w:val="20"/>
              </w:rPr>
              <w:t>- zdalne monitorowanie i informowanie o statusie serwera (m.in. prędkości obrotowej wentylatorów, konfiguracji serwera);</w:t>
            </w:r>
          </w:p>
          <w:p w14:paraId="00C723A0" w14:textId="1AABF9C4" w:rsidR="00061C8F" w:rsidRPr="007428E3" w:rsidRDefault="00061C8F" w:rsidP="00061C8F">
            <w:pPr>
              <w:rPr>
                <w:sz w:val="20"/>
                <w:szCs w:val="20"/>
              </w:rPr>
            </w:pPr>
            <w:r w:rsidRPr="007428E3">
              <w:rPr>
                <w:sz w:val="20"/>
                <w:szCs w:val="20"/>
              </w:rPr>
              <w:t>- szyfrowane połączenie (TLS) oraz autentykacje i autoryzację użytkownika;</w:t>
            </w:r>
          </w:p>
          <w:p w14:paraId="72AE601A" w14:textId="6A132C0F" w:rsidR="00061C8F" w:rsidRPr="007428E3" w:rsidRDefault="00061C8F" w:rsidP="00061C8F">
            <w:pPr>
              <w:rPr>
                <w:sz w:val="20"/>
                <w:szCs w:val="20"/>
              </w:rPr>
            </w:pPr>
            <w:r w:rsidRPr="007428E3">
              <w:rPr>
                <w:sz w:val="20"/>
                <w:szCs w:val="20"/>
              </w:rPr>
              <w:t>- możliwość podmontowania zdalnych wirtualnych napędów;</w:t>
            </w:r>
          </w:p>
          <w:p w14:paraId="26A9C161" w14:textId="73299A29" w:rsidR="00061C8F" w:rsidRPr="007428E3" w:rsidRDefault="00061C8F" w:rsidP="00061C8F">
            <w:pPr>
              <w:rPr>
                <w:sz w:val="20"/>
                <w:szCs w:val="20"/>
              </w:rPr>
            </w:pPr>
            <w:r w:rsidRPr="007428E3">
              <w:rPr>
                <w:sz w:val="20"/>
                <w:szCs w:val="20"/>
              </w:rPr>
              <w:t>- wirtualną konsolę z dostępem do myszy, klawiatury;</w:t>
            </w:r>
          </w:p>
          <w:p w14:paraId="5026BB15" w14:textId="77777777" w:rsidR="00AB019F" w:rsidRPr="00003271" w:rsidRDefault="00AB019F" w:rsidP="00AB019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03271">
              <w:rPr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>zastosowanie</w:t>
            </w:r>
            <w:r w:rsidRPr="00003271">
              <w:rPr>
                <w:sz w:val="20"/>
                <w:szCs w:val="20"/>
                <w:lang w:eastAsia="en-US"/>
              </w:rPr>
              <w:t xml:space="preserve"> wtyczk</w:t>
            </w:r>
            <w:r>
              <w:rPr>
                <w:sz w:val="20"/>
                <w:szCs w:val="20"/>
                <w:lang w:eastAsia="en-US"/>
              </w:rPr>
              <w:t>i</w:t>
            </w:r>
            <w:r w:rsidRPr="00003271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003271">
              <w:rPr>
                <w:sz w:val="20"/>
                <w:szCs w:val="20"/>
                <w:lang w:eastAsia="en-US"/>
              </w:rPr>
              <w:t>plugin</w:t>
            </w:r>
            <w:proofErr w:type="spellEnd"/>
            <w:r w:rsidRPr="00003271">
              <w:rPr>
                <w:sz w:val="20"/>
                <w:szCs w:val="20"/>
                <w:lang w:eastAsia="en-US"/>
              </w:rPr>
              <w:t>) wykorzysując</w:t>
            </w:r>
            <w:r>
              <w:rPr>
                <w:sz w:val="20"/>
                <w:szCs w:val="20"/>
                <w:lang w:eastAsia="en-US"/>
              </w:rPr>
              <w:t>ej</w:t>
            </w:r>
            <w:r w:rsidRPr="00003271">
              <w:rPr>
                <w:sz w:val="20"/>
                <w:szCs w:val="20"/>
                <w:lang w:eastAsia="en-US"/>
              </w:rPr>
              <w:t xml:space="preserve"> standard SNMP do komunikacji z serwerem monitorującym </w:t>
            </w:r>
            <w:proofErr w:type="spellStart"/>
            <w:r w:rsidRPr="00003271">
              <w:rPr>
                <w:sz w:val="20"/>
                <w:szCs w:val="20"/>
                <w:lang w:eastAsia="en-US"/>
              </w:rPr>
              <w:t>Nagios</w:t>
            </w:r>
            <w:proofErr w:type="spellEnd"/>
            <w:r w:rsidRPr="00003271">
              <w:rPr>
                <w:sz w:val="20"/>
                <w:szCs w:val="20"/>
                <w:lang w:eastAsia="en-US"/>
              </w:rPr>
              <w:t>, wtyczka musi być dostępn</w:t>
            </w:r>
            <w:r>
              <w:rPr>
                <w:sz w:val="20"/>
                <w:szCs w:val="20"/>
                <w:lang w:eastAsia="en-US"/>
              </w:rPr>
              <w:t>a</w:t>
            </w:r>
            <w:r w:rsidRPr="00003271">
              <w:rPr>
                <w:sz w:val="20"/>
                <w:szCs w:val="20"/>
                <w:lang w:eastAsia="en-US"/>
              </w:rPr>
              <w:t xml:space="preserve"> do pobrania na stronie </w:t>
            </w:r>
            <w:hyperlink r:id="rId10" w:history="1">
              <w:r w:rsidRPr="00003271">
                <w:rPr>
                  <w:rStyle w:val="Hipercze"/>
                  <w:rFonts w:eastAsiaTheme="majorEastAsia"/>
                  <w:sz w:val="20"/>
                  <w:szCs w:val="20"/>
                  <w:lang w:eastAsia="en-US"/>
                </w:rPr>
                <w:t>https://exchange.nagios.org/directory/Plugins</w:t>
              </w:r>
            </w:hyperlink>
            <w:r w:rsidRPr="00003271">
              <w:rPr>
                <w:sz w:val="20"/>
                <w:szCs w:val="20"/>
                <w:lang w:eastAsia="en-US"/>
              </w:rPr>
              <w:t xml:space="preserve"> lub dostarczona na nośniku i </w:t>
            </w:r>
            <w:r>
              <w:rPr>
                <w:sz w:val="20"/>
                <w:szCs w:val="20"/>
                <w:lang w:eastAsia="en-US"/>
              </w:rPr>
              <w:t xml:space="preserve">musi </w:t>
            </w:r>
            <w:r w:rsidRPr="00003271">
              <w:rPr>
                <w:sz w:val="20"/>
                <w:szCs w:val="20"/>
                <w:lang w:eastAsia="en-US"/>
              </w:rPr>
              <w:t xml:space="preserve">zapewniać </w:t>
            </w:r>
            <w:r w:rsidRPr="00003271">
              <w:rPr>
                <w:sz w:val="20"/>
                <w:szCs w:val="20"/>
                <w:lang w:eastAsia="en-US"/>
              </w:rPr>
              <w:lastRenderedPageBreak/>
              <w:t>minimum monitorowanie stanu serwera i alertów SNMP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03271">
              <w:rPr>
                <w:sz w:val="20"/>
                <w:szCs w:val="20"/>
                <w:lang w:eastAsia="en-US"/>
              </w:rPr>
              <w:t>;</w:t>
            </w:r>
          </w:p>
          <w:p w14:paraId="7C57A482" w14:textId="404FF19B" w:rsidR="00061C8F" w:rsidRPr="007428E3" w:rsidRDefault="00061C8F" w:rsidP="00061C8F">
            <w:pPr>
              <w:rPr>
                <w:sz w:val="20"/>
                <w:szCs w:val="20"/>
              </w:rPr>
            </w:pPr>
            <w:r w:rsidRPr="007428E3">
              <w:rPr>
                <w:sz w:val="20"/>
                <w:szCs w:val="20"/>
              </w:rPr>
              <w:t>-wysyłanie do administratora maila z powiadomieniem o awarii lub zmianie konfiguracji sprzętowej.</w:t>
            </w:r>
          </w:p>
        </w:tc>
      </w:tr>
      <w:tr w:rsidR="00061C8F" w:rsidRPr="0084160A" w14:paraId="595A90C7" w14:textId="77777777" w:rsidTr="00367A5A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AA6A" w14:textId="77777777" w:rsidR="00061C8F" w:rsidRPr="0084160A" w:rsidRDefault="00061C8F" w:rsidP="00061C8F">
            <w:pPr>
              <w:jc w:val="center"/>
              <w:rPr>
                <w:b/>
                <w:sz w:val="20"/>
                <w:szCs w:val="20"/>
              </w:rPr>
            </w:pPr>
            <w:r w:rsidRPr="0084160A">
              <w:rPr>
                <w:b/>
                <w:sz w:val="20"/>
                <w:szCs w:val="20"/>
              </w:rPr>
              <w:lastRenderedPageBreak/>
              <w:t>W zakresie zgodności z normami</w:t>
            </w:r>
          </w:p>
        </w:tc>
      </w:tr>
      <w:tr w:rsidR="00061C8F" w:rsidRPr="0084160A" w14:paraId="2A3A5023" w14:textId="77777777" w:rsidTr="00367A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0E32" w14:textId="765020E6" w:rsidR="00061C8F" w:rsidRPr="0084160A" w:rsidRDefault="000017F7" w:rsidP="00061C8F">
            <w:pPr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1FB3">
              <w:rPr>
                <w:sz w:val="20"/>
                <w:szCs w:val="20"/>
              </w:rPr>
              <w:t>8</w:t>
            </w:r>
            <w:r w:rsidR="00061C8F" w:rsidRPr="0084160A">
              <w:rPr>
                <w:sz w:val="20"/>
                <w:szCs w:val="20"/>
              </w:rPr>
              <w:t>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3A36DB" w14:textId="77777777" w:rsidR="00061C8F" w:rsidRPr="0084160A" w:rsidRDefault="00061C8F" w:rsidP="00061C8F">
            <w:pPr>
              <w:rPr>
                <w:sz w:val="20"/>
                <w:szCs w:val="20"/>
              </w:rPr>
            </w:pPr>
            <w:r w:rsidRPr="0084160A">
              <w:rPr>
                <w:sz w:val="20"/>
                <w:szCs w:val="20"/>
              </w:rPr>
              <w:t>Normy i certyfikaty</w:t>
            </w:r>
          </w:p>
        </w:tc>
        <w:tc>
          <w:tcPr>
            <w:tcW w:w="7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74D39" w14:textId="638BC800" w:rsidR="00061C8F" w:rsidRPr="0084160A" w:rsidRDefault="00061C8F" w:rsidP="00061C8F">
            <w:pPr>
              <w:rPr>
                <w:rFonts w:ascii="Arial Black" w:hAnsi="Arial Black"/>
                <w:sz w:val="20"/>
                <w:szCs w:val="20"/>
              </w:rPr>
            </w:pPr>
            <w:r w:rsidRPr="00094516">
              <w:rPr>
                <w:sz w:val="20"/>
                <w:szCs w:val="20"/>
              </w:rPr>
              <w:t>Serwer musi być wyprodukowany zgodnie z normą ISO-9001 oraz ISO-14001.</w:t>
            </w:r>
          </w:p>
        </w:tc>
      </w:tr>
      <w:tr w:rsidR="00061C8F" w:rsidRPr="0084160A" w14:paraId="0AA76AF3" w14:textId="77777777" w:rsidTr="00367A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10CAF" w14:textId="74CED175" w:rsidR="00061C8F" w:rsidRPr="0084160A" w:rsidRDefault="000017F7" w:rsidP="00061C8F">
            <w:pPr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1FB3">
              <w:rPr>
                <w:sz w:val="20"/>
                <w:szCs w:val="20"/>
              </w:rPr>
              <w:t>8</w:t>
            </w:r>
            <w:r w:rsidR="00061C8F" w:rsidRPr="0084160A">
              <w:rPr>
                <w:sz w:val="20"/>
                <w:szCs w:val="20"/>
              </w:rPr>
              <w:t>b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F0515F" w14:textId="77777777" w:rsidR="00061C8F" w:rsidRPr="0084160A" w:rsidRDefault="00061C8F" w:rsidP="00061C8F">
            <w:pPr>
              <w:rPr>
                <w:sz w:val="20"/>
                <w:szCs w:val="20"/>
              </w:rPr>
            </w:pPr>
          </w:p>
        </w:tc>
        <w:tc>
          <w:tcPr>
            <w:tcW w:w="7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ED60" w14:textId="65AA58F1" w:rsidR="00061C8F" w:rsidRDefault="00061C8F" w:rsidP="00061C8F">
            <w:pPr>
              <w:rPr>
                <w:sz w:val="20"/>
                <w:szCs w:val="20"/>
              </w:rPr>
            </w:pPr>
            <w:r w:rsidRPr="00094516">
              <w:rPr>
                <w:sz w:val="20"/>
                <w:szCs w:val="20"/>
              </w:rPr>
              <w:t>Serwer musi posiadać deklaracj</w:t>
            </w:r>
            <w:r w:rsidR="00FB628C">
              <w:rPr>
                <w:sz w:val="20"/>
                <w:szCs w:val="20"/>
              </w:rPr>
              <w:t>ę</w:t>
            </w:r>
            <w:r w:rsidRPr="00094516">
              <w:rPr>
                <w:sz w:val="20"/>
                <w:szCs w:val="20"/>
              </w:rPr>
              <w:t xml:space="preserve"> CE.</w:t>
            </w:r>
          </w:p>
          <w:p w14:paraId="1E6E5B0B" w14:textId="650BBB7F" w:rsidR="00061C8F" w:rsidRPr="0084160A" w:rsidRDefault="00061C8F" w:rsidP="00061C8F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061C8F" w:rsidRPr="0084160A" w14:paraId="7DCB1721" w14:textId="77777777" w:rsidTr="00367A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EA2DD" w14:textId="524F7BD0" w:rsidR="00061C8F" w:rsidRPr="0084160A" w:rsidRDefault="000017F7" w:rsidP="00061C8F">
            <w:pPr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1FB3">
              <w:rPr>
                <w:sz w:val="20"/>
                <w:szCs w:val="20"/>
              </w:rPr>
              <w:t>8</w:t>
            </w:r>
            <w:r w:rsidR="00061C8F" w:rsidRPr="0084160A">
              <w:rPr>
                <w:sz w:val="20"/>
                <w:szCs w:val="20"/>
              </w:rPr>
              <w:t>c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7ACB6B" w14:textId="77777777" w:rsidR="00061C8F" w:rsidRPr="0084160A" w:rsidRDefault="00061C8F" w:rsidP="00061C8F">
            <w:pPr>
              <w:rPr>
                <w:sz w:val="20"/>
                <w:szCs w:val="20"/>
              </w:rPr>
            </w:pPr>
          </w:p>
        </w:tc>
        <w:tc>
          <w:tcPr>
            <w:tcW w:w="7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B2D9" w14:textId="4DB59D43" w:rsidR="00061C8F" w:rsidRPr="0084160A" w:rsidRDefault="00061C8F" w:rsidP="00061C8F">
            <w:pPr>
              <w:rPr>
                <w:snapToGrid w:val="0"/>
                <w:sz w:val="20"/>
                <w:szCs w:val="20"/>
              </w:rPr>
            </w:pPr>
            <w:r w:rsidRPr="00094516">
              <w:rPr>
                <w:sz w:val="20"/>
                <w:szCs w:val="20"/>
              </w:rPr>
              <w:t xml:space="preserve">Oferowany serwer musi znajdować się </w:t>
            </w:r>
            <w:r w:rsidRPr="005F2DF9">
              <w:rPr>
                <w:sz w:val="20"/>
                <w:szCs w:val="20"/>
              </w:rPr>
              <w:t xml:space="preserve">na liście Windows Server </w:t>
            </w:r>
            <w:proofErr w:type="spellStart"/>
            <w:r w:rsidRPr="005F2DF9">
              <w:rPr>
                <w:sz w:val="20"/>
                <w:szCs w:val="20"/>
              </w:rPr>
              <w:t>Catalog</w:t>
            </w:r>
            <w:proofErr w:type="spellEnd"/>
            <w:r w:rsidRPr="005F2DF9">
              <w:rPr>
                <w:sz w:val="20"/>
                <w:szCs w:val="20"/>
              </w:rPr>
              <w:t xml:space="preserve"> i posiadać status „</w:t>
            </w:r>
            <w:proofErr w:type="spellStart"/>
            <w:r w:rsidRPr="005F2DF9">
              <w:rPr>
                <w:sz w:val="20"/>
                <w:szCs w:val="20"/>
              </w:rPr>
              <w:t>Certified</w:t>
            </w:r>
            <w:proofErr w:type="spellEnd"/>
            <w:r w:rsidRPr="005F2DF9">
              <w:rPr>
                <w:sz w:val="20"/>
                <w:szCs w:val="20"/>
              </w:rPr>
              <w:t xml:space="preserve"> for Windows” dla system</w:t>
            </w:r>
            <w:r w:rsidR="00AB019F" w:rsidRPr="005F2DF9">
              <w:rPr>
                <w:sz w:val="20"/>
                <w:szCs w:val="20"/>
              </w:rPr>
              <w:t xml:space="preserve">u </w:t>
            </w:r>
            <w:r w:rsidRPr="005F2DF9">
              <w:rPr>
                <w:sz w:val="20"/>
                <w:szCs w:val="20"/>
              </w:rPr>
              <w:t>Microsoft Windows 2019</w:t>
            </w:r>
            <w:r w:rsidR="001C60E3" w:rsidRPr="005F2DF9">
              <w:rPr>
                <w:sz w:val="20"/>
                <w:szCs w:val="20"/>
              </w:rPr>
              <w:t xml:space="preserve"> lub równoważne wykazanie zgodności dla oprogramowania równoważnego. </w:t>
            </w:r>
          </w:p>
        </w:tc>
      </w:tr>
      <w:tr w:rsidR="00061C8F" w:rsidRPr="0084160A" w14:paraId="2AA9CC68" w14:textId="77777777" w:rsidTr="00367A5A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CB37" w14:textId="4A26C0D3" w:rsidR="00061C8F" w:rsidRPr="0084160A" w:rsidRDefault="00061C8F" w:rsidP="00061C8F">
            <w:pPr>
              <w:jc w:val="center"/>
              <w:rPr>
                <w:sz w:val="20"/>
                <w:szCs w:val="20"/>
              </w:rPr>
            </w:pPr>
            <w:r w:rsidRPr="0084160A">
              <w:rPr>
                <w:b/>
                <w:sz w:val="20"/>
                <w:szCs w:val="20"/>
              </w:rPr>
              <w:t>W zakresie gwarancji i serwisu</w:t>
            </w:r>
          </w:p>
        </w:tc>
      </w:tr>
      <w:tr w:rsidR="009C58C5" w:rsidRPr="0084160A" w14:paraId="73C94D48" w14:textId="77777777" w:rsidTr="00F979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79F0" w14:textId="2F65F81B" w:rsidR="009C58C5" w:rsidRPr="0084160A" w:rsidRDefault="009C58C5" w:rsidP="00061C8F">
            <w:pPr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19a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9C2F5" w14:textId="26077913" w:rsidR="009C58C5" w:rsidRPr="0084160A" w:rsidRDefault="009C58C5" w:rsidP="00061C8F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Gwarancja i serwis producenta (dotyczy serwerów)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F184" w14:textId="73638D5B" w:rsidR="009C58C5" w:rsidRPr="0084160A" w:rsidRDefault="009C58C5" w:rsidP="00061C8F">
            <w:pPr>
              <w:rPr>
                <w:sz w:val="20"/>
                <w:szCs w:val="20"/>
              </w:rPr>
            </w:pPr>
            <w:r w:rsidRPr="0084160A">
              <w:rPr>
                <w:sz w:val="20"/>
                <w:szCs w:val="20"/>
              </w:rPr>
              <w:t xml:space="preserve">Co najmniej </w:t>
            </w:r>
            <w:r>
              <w:rPr>
                <w:sz w:val="20"/>
                <w:szCs w:val="20"/>
              </w:rPr>
              <w:t>60</w:t>
            </w:r>
            <w:r w:rsidRPr="0084160A">
              <w:rPr>
                <w:sz w:val="20"/>
                <w:szCs w:val="20"/>
              </w:rPr>
              <w:t xml:space="preserve"> miesięcy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63DDB" w14:textId="77777777" w:rsidR="009C58C5" w:rsidRPr="0084160A" w:rsidRDefault="009C58C5" w:rsidP="00061C8F">
            <w:pPr>
              <w:jc w:val="center"/>
              <w:rPr>
                <w:sz w:val="20"/>
                <w:szCs w:val="20"/>
              </w:rPr>
            </w:pPr>
          </w:p>
          <w:p w14:paraId="1B8FB96D" w14:textId="77777777" w:rsidR="009C58C5" w:rsidRPr="0084160A" w:rsidRDefault="009C58C5" w:rsidP="00061C8F">
            <w:pPr>
              <w:jc w:val="center"/>
              <w:rPr>
                <w:sz w:val="20"/>
                <w:szCs w:val="20"/>
              </w:rPr>
            </w:pPr>
          </w:p>
        </w:tc>
      </w:tr>
      <w:tr w:rsidR="009C58C5" w:rsidRPr="0084160A" w14:paraId="634AD301" w14:textId="77777777" w:rsidTr="00F979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6B653" w14:textId="5536CE18" w:rsidR="009C58C5" w:rsidRPr="0084160A" w:rsidRDefault="009C58C5" w:rsidP="00061C8F">
            <w:pPr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4160A">
              <w:rPr>
                <w:sz w:val="20"/>
                <w:szCs w:val="20"/>
              </w:rPr>
              <w:t>b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AD48AB" w14:textId="77777777" w:rsidR="009C58C5" w:rsidRPr="0084160A" w:rsidRDefault="009C58C5" w:rsidP="00061C8F">
            <w:pPr>
              <w:rPr>
                <w:sz w:val="20"/>
                <w:szCs w:val="20"/>
              </w:rPr>
            </w:pPr>
          </w:p>
        </w:tc>
        <w:tc>
          <w:tcPr>
            <w:tcW w:w="7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C300" w14:textId="25B8D298" w:rsidR="009C58C5" w:rsidRPr="0084160A" w:rsidRDefault="009C58C5" w:rsidP="00061C8F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5373C5">
              <w:rPr>
                <w:sz w:val="20"/>
                <w:szCs w:val="20"/>
              </w:rPr>
              <w:t>warancj</w:t>
            </w:r>
            <w:r>
              <w:rPr>
                <w:sz w:val="20"/>
                <w:szCs w:val="20"/>
              </w:rPr>
              <w:t>a</w:t>
            </w:r>
            <w:r w:rsidRPr="005373C5">
              <w:rPr>
                <w:sz w:val="20"/>
                <w:szCs w:val="20"/>
              </w:rPr>
              <w:t xml:space="preserve"> realizowan</w:t>
            </w:r>
            <w:r>
              <w:rPr>
                <w:sz w:val="20"/>
                <w:szCs w:val="20"/>
              </w:rPr>
              <w:t>a</w:t>
            </w:r>
            <w:r w:rsidRPr="005373C5">
              <w:rPr>
                <w:sz w:val="20"/>
                <w:szCs w:val="20"/>
              </w:rPr>
              <w:t xml:space="preserve"> w miejscu instalacji sprzętu, z czasem reakcji 4 godziny od przyjęcia zgłoszenia, możliwość zgłaszania awarii 24x7x365 poprzez ogólnopolską linię telefoniczną producenta. W przypadku awarii nośników pozostają one własnością Zamawiającego.</w:t>
            </w:r>
          </w:p>
        </w:tc>
      </w:tr>
      <w:tr w:rsidR="00061C8F" w:rsidRPr="0084160A" w14:paraId="0A27D75C" w14:textId="77777777" w:rsidTr="00367A5A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2979" w14:textId="111A6E81" w:rsidR="00061C8F" w:rsidRPr="005373C5" w:rsidRDefault="00061C8F" w:rsidP="00061C8F">
            <w:pPr>
              <w:jc w:val="center"/>
              <w:rPr>
                <w:sz w:val="20"/>
                <w:szCs w:val="20"/>
              </w:rPr>
            </w:pPr>
            <w:r w:rsidRPr="0084160A">
              <w:rPr>
                <w:b/>
                <w:sz w:val="20"/>
                <w:szCs w:val="20"/>
              </w:rPr>
              <w:t xml:space="preserve">W zakresie </w:t>
            </w:r>
            <w:r>
              <w:rPr>
                <w:b/>
                <w:sz w:val="20"/>
                <w:szCs w:val="20"/>
              </w:rPr>
              <w:t>dokumentacji</w:t>
            </w:r>
          </w:p>
        </w:tc>
      </w:tr>
      <w:tr w:rsidR="00061C8F" w:rsidRPr="0084160A" w14:paraId="1DDD75D5" w14:textId="77777777" w:rsidTr="00367A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E8C0" w14:textId="3E4CA0D4" w:rsidR="00061C8F" w:rsidRDefault="00061C8F" w:rsidP="00061C8F">
            <w:pPr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1FB3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FF3A8" w14:textId="2682D403" w:rsidR="00061C8F" w:rsidRPr="0084160A" w:rsidRDefault="00061C8F" w:rsidP="00061C8F">
            <w:pPr>
              <w:rPr>
                <w:sz w:val="20"/>
                <w:szCs w:val="20"/>
              </w:rPr>
            </w:pPr>
            <w:r w:rsidRPr="005373C5">
              <w:rPr>
                <w:sz w:val="20"/>
                <w:szCs w:val="20"/>
              </w:rPr>
              <w:t>Dokumentacja użytkownika</w:t>
            </w:r>
          </w:p>
        </w:tc>
        <w:tc>
          <w:tcPr>
            <w:tcW w:w="7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4CCD" w14:textId="77777777" w:rsidR="00061C8F" w:rsidRDefault="00061C8F" w:rsidP="00061C8F">
            <w:pPr>
              <w:rPr>
                <w:sz w:val="20"/>
                <w:szCs w:val="20"/>
              </w:rPr>
            </w:pPr>
            <w:r w:rsidRPr="005373C5">
              <w:rPr>
                <w:sz w:val="20"/>
                <w:szCs w:val="20"/>
              </w:rPr>
              <w:t>Zamawiający wymaga dokumentacji w języku polskim lub angielskim.</w:t>
            </w:r>
          </w:p>
          <w:p w14:paraId="562328B4" w14:textId="713E3424" w:rsidR="00061C8F" w:rsidRPr="005373C5" w:rsidRDefault="00061C8F" w:rsidP="00061C8F">
            <w:pPr>
              <w:rPr>
                <w:sz w:val="20"/>
                <w:szCs w:val="20"/>
              </w:rPr>
            </w:pPr>
          </w:p>
        </w:tc>
      </w:tr>
      <w:tr w:rsidR="00CA6559" w:rsidRPr="005373C5" w14:paraId="28561BAE" w14:textId="77777777" w:rsidTr="00092713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912C" w14:textId="20A58160" w:rsidR="00CA6559" w:rsidRPr="005373C5" w:rsidRDefault="00CA6559" w:rsidP="00CA6559">
            <w:pPr>
              <w:jc w:val="center"/>
              <w:rPr>
                <w:sz w:val="20"/>
                <w:szCs w:val="20"/>
              </w:rPr>
            </w:pPr>
            <w:r w:rsidRPr="00003271">
              <w:rPr>
                <w:b/>
                <w:sz w:val="20"/>
                <w:szCs w:val="20"/>
                <w:lang w:eastAsia="en-US"/>
              </w:rPr>
              <w:t xml:space="preserve">W zakresie </w:t>
            </w:r>
            <w:r>
              <w:rPr>
                <w:b/>
                <w:sz w:val="20"/>
                <w:szCs w:val="20"/>
                <w:lang w:eastAsia="en-US"/>
              </w:rPr>
              <w:t>oprogramowania</w:t>
            </w:r>
          </w:p>
        </w:tc>
      </w:tr>
      <w:tr w:rsidR="00CA6559" w:rsidRPr="005F122E" w14:paraId="5B139E1F" w14:textId="77777777" w:rsidTr="000927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F45E" w14:textId="73F43F83" w:rsidR="00CA6559" w:rsidRPr="0084160A" w:rsidRDefault="00CA6559" w:rsidP="00CA6559">
            <w:pPr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172F2" w14:textId="75142777" w:rsidR="00CA6559" w:rsidRPr="005F122E" w:rsidRDefault="00CA6559" w:rsidP="00CA6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2E24" w14:textId="77777777" w:rsidR="00CA6559" w:rsidRDefault="00CA6559" w:rsidP="00CA6559">
            <w:pPr>
              <w:spacing w:line="256" w:lineRule="auto"/>
              <w:rPr>
                <w:snapToGrid w:val="0"/>
                <w:sz w:val="20"/>
                <w:szCs w:val="20"/>
                <w:lang w:eastAsia="en-US"/>
              </w:rPr>
            </w:pPr>
            <w:r w:rsidRPr="00426F6A">
              <w:rPr>
                <w:snapToGrid w:val="0"/>
                <w:sz w:val="20"/>
                <w:szCs w:val="20"/>
                <w:lang w:eastAsia="en-US"/>
              </w:rPr>
              <w:t xml:space="preserve">Windows Server 2019 Standard 16 </w:t>
            </w:r>
            <w:proofErr w:type="spellStart"/>
            <w:r w:rsidRPr="00426F6A">
              <w:rPr>
                <w:snapToGrid w:val="0"/>
                <w:sz w:val="20"/>
                <w:szCs w:val="20"/>
                <w:lang w:eastAsia="en-US"/>
              </w:rPr>
              <w:t>Core</w:t>
            </w:r>
            <w:proofErr w:type="spellEnd"/>
            <w:r w:rsidRPr="00426F6A">
              <w:rPr>
                <w:snapToGrid w:val="0"/>
                <w:sz w:val="20"/>
                <w:szCs w:val="20"/>
                <w:lang w:eastAsia="en-US"/>
              </w:rPr>
              <w:t xml:space="preserve"> lub równoważny**</w:t>
            </w:r>
          </w:p>
          <w:p w14:paraId="25E013DD" w14:textId="77777777" w:rsidR="00CA6559" w:rsidRDefault="00CA6559" w:rsidP="00CA6559">
            <w:pPr>
              <w:spacing w:line="256" w:lineRule="auto"/>
              <w:rPr>
                <w:snapToGrid w:val="0"/>
                <w:sz w:val="20"/>
                <w:szCs w:val="20"/>
                <w:lang w:eastAsia="en-US"/>
              </w:rPr>
            </w:pPr>
          </w:p>
          <w:p w14:paraId="2066D7A2" w14:textId="77777777" w:rsidR="00CA6559" w:rsidRDefault="00CA6559" w:rsidP="00CA6559">
            <w:pPr>
              <w:spacing w:line="256" w:lineRule="auto"/>
              <w:rPr>
                <w:sz w:val="20"/>
                <w:szCs w:val="20"/>
              </w:rPr>
            </w:pPr>
            <w:r w:rsidRPr="00C162DA">
              <w:rPr>
                <w:sz w:val="20"/>
                <w:szCs w:val="20"/>
              </w:rPr>
              <w:t>Oprogramowanie musi być fabrycznie nowe, nieużywane oraz nieaktywowane nigdy wcześniej na innym urządzeniu</w:t>
            </w:r>
            <w:r w:rsidRPr="00D81E0E">
              <w:rPr>
                <w:sz w:val="20"/>
                <w:szCs w:val="20"/>
              </w:rPr>
              <w:t>.</w:t>
            </w:r>
          </w:p>
          <w:p w14:paraId="246B2D3B" w14:textId="77777777" w:rsidR="00CA6559" w:rsidRPr="00DD78D2" w:rsidRDefault="00CA6559" w:rsidP="00CA6559">
            <w:pPr>
              <w:spacing w:line="256" w:lineRule="auto"/>
              <w:rPr>
                <w:snapToGrid w:val="0"/>
                <w:sz w:val="20"/>
                <w:szCs w:val="20"/>
                <w:lang w:eastAsia="en-US"/>
              </w:rPr>
            </w:pPr>
          </w:p>
          <w:p w14:paraId="3B537B9E" w14:textId="3EB2FFEF" w:rsidR="00CA6559" w:rsidRPr="005F122E" w:rsidRDefault="00CA6559" w:rsidP="00CA6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Licencja musi </w:t>
            </w:r>
            <w:r>
              <w:rPr>
                <w:snapToGrid w:val="0"/>
                <w:sz w:val="20"/>
                <w:szCs w:val="20"/>
                <w:lang w:eastAsia="en-US"/>
              </w:rPr>
              <w:t xml:space="preserve">obejmować wszystkie rdzenie procesorów wymienione w Załączniku 1B pkt. 6 oraz </w:t>
            </w:r>
            <w:r>
              <w:rPr>
                <w:sz w:val="20"/>
                <w:szCs w:val="20"/>
                <w:lang w:eastAsia="en-US"/>
              </w:rPr>
              <w:t>umożliwiać legalne przeniesienie produktu na inny serwer fizyczny o nie większej ilości rdzeni procesorów.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1DBD" w14:textId="60A3F159" w:rsidR="00CA6559" w:rsidRPr="005F122E" w:rsidRDefault="00CA6559" w:rsidP="00CA6559">
            <w:pPr>
              <w:rPr>
                <w:sz w:val="20"/>
                <w:szCs w:val="20"/>
              </w:rPr>
            </w:pPr>
          </w:p>
        </w:tc>
      </w:tr>
    </w:tbl>
    <w:p w14:paraId="036679A0" w14:textId="7FB5EFAE" w:rsidR="0084160A" w:rsidRDefault="0084160A" w:rsidP="0084160A">
      <w:pPr>
        <w:spacing w:line="240" w:lineRule="exact"/>
      </w:pPr>
    </w:p>
    <w:p w14:paraId="01B8DD34" w14:textId="77777777" w:rsidR="00CA6559" w:rsidRPr="0084160A" w:rsidRDefault="00CA6559" w:rsidP="0084160A">
      <w:pPr>
        <w:spacing w:line="240" w:lineRule="exact"/>
      </w:pPr>
    </w:p>
    <w:p w14:paraId="18BCAB10" w14:textId="77777777" w:rsidR="00A251B6" w:rsidRDefault="00A251B6" w:rsidP="00B34D61"/>
    <w:p w14:paraId="18FB4B3F" w14:textId="77777777" w:rsidR="00A251B6" w:rsidRDefault="00A251B6" w:rsidP="00B34D61"/>
    <w:p w14:paraId="7B827FD5" w14:textId="77777777" w:rsidR="00A251B6" w:rsidRDefault="00A251B6" w:rsidP="00B34D61"/>
    <w:p w14:paraId="586F0750" w14:textId="77777777" w:rsidR="00A251B6" w:rsidRDefault="00A251B6" w:rsidP="00B34D61"/>
    <w:p w14:paraId="3678687F" w14:textId="77777777" w:rsidR="00A251B6" w:rsidRDefault="00A251B6" w:rsidP="00B34D61"/>
    <w:p w14:paraId="444DA136" w14:textId="77777777" w:rsidR="00A251B6" w:rsidRDefault="00A251B6" w:rsidP="00B34D61"/>
    <w:p w14:paraId="712E5C9F" w14:textId="77777777" w:rsidR="00A251B6" w:rsidRDefault="00A251B6" w:rsidP="00B34D61"/>
    <w:p w14:paraId="1AA42EF5" w14:textId="77777777" w:rsidR="00A251B6" w:rsidRDefault="00A251B6" w:rsidP="00B34D61"/>
    <w:p w14:paraId="27AA35C3" w14:textId="77777777" w:rsidR="00A251B6" w:rsidRDefault="00A251B6" w:rsidP="00B34D61"/>
    <w:p w14:paraId="47DD3BA0" w14:textId="77777777" w:rsidR="00A251B6" w:rsidRDefault="00A251B6" w:rsidP="00B34D61"/>
    <w:p w14:paraId="0D455566" w14:textId="77777777" w:rsidR="00A251B6" w:rsidRDefault="00A251B6" w:rsidP="00B34D61"/>
    <w:p w14:paraId="37E9EF97" w14:textId="77777777" w:rsidR="00A251B6" w:rsidRDefault="00A251B6" w:rsidP="00B34D61"/>
    <w:p w14:paraId="24993CEA" w14:textId="77777777" w:rsidR="00A251B6" w:rsidRDefault="00A251B6" w:rsidP="00B34D61"/>
    <w:p w14:paraId="25C2944F" w14:textId="77777777" w:rsidR="00A251B6" w:rsidRDefault="00A251B6" w:rsidP="00B34D61"/>
    <w:p w14:paraId="34C05020" w14:textId="77777777" w:rsidR="00A251B6" w:rsidRDefault="00A251B6" w:rsidP="00B34D61"/>
    <w:p w14:paraId="50CEA2A8" w14:textId="77777777" w:rsidR="00A251B6" w:rsidRDefault="00A251B6" w:rsidP="00B34D61"/>
    <w:p w14:paraId="2242E85E" w14:textId="77777777" w:rsidR="00A251B6" w:rsidRDefault="00A251B6" w:rsidP="00B34D61"/>
    <w:p w14:paraId="7BD90FBF" w14:textId="77777777" w:rsidR="00A251B6" w:rsidRDefault="00A251B6" w:rsidP="00B34D61"/>
    <w:p w14:paraId="513E1C07" w14:textId="77777777" w:rsidR="00A251B6" w:rsidRDefault="00A251B6" w:rsidP="00B34D61"/>
    <w:p w14:paraId="56C62C4E" w14:textId="77777777" w:rsidR="00A251B6" w:rsidRDefault="00A251B6" w:rsidP="00B34D61"/>
    <w:p w14:paraId="0B9E9E88" w14:textId="77777777" w:rsidR="00A251B6" w:rsidRDefault="00A251B6" w:rsidP="00B34D61"/>
    <w:p w14:paraId="5F3473FD" w14:textId="77777777" w:rsidR="00A251B6" w:rsidRDefault="00A251B6" w:rsidP="00B34D61"/>
    <w:p w14:paraId="7A528DAB" w14:textId="77777777" w:rsidR="00A251B6" w:rsidRDefault="00A251B6" w:rsidP="00B34D61"/>
    <w:p w14:paraId="4C11D461" w14:textId="77777777" w:rsidR="00A251B6" w:rsidRDefault="00A251B6" w:rsidP="00B34D61"/>
    <w:p w14:paraId="630D5F6F" w14:textId="77777777" w:rsidR="00A251B6" w:rsidRDefault="00A251B6" w:rsidP="00B34D61"/>
    <w:p w14:paraId="13130922" w14:textId="77777777" w:rsidR="00A251B6" w:rsidRDefault="00A251B6" w:rsidP="00B34D61"/>
    <w:p w14:paraId="5C520EBA" w14:textId="77777777" w:rsidR="00A251B6" w:rsidRDefault="00A251B6" w:rsidP="00B34D61"/>
    <w:p w14:paraId="530BEA4F" w14:textId="77777777" w:rsidR="00A251B6" w:rsidRDefault="00A251B6" w:rsidP="00B34D61"/>
    <w:p w14:paraId="0D549185" w14:textId="1CC2CB12" w:rsidR="0084160A" w:rsidRPr="0084160A" w:rsidRDefault="0084160A" w:rsidP="00B34D61">
      <w:bookmarkStart w:id="0" w:name="_GoBack"/>
      <w:bookmarkEnd w:id="0"/>
      <w:r w:rsidRPr="0084160A">
        <w:t>Potwierdzamy zgodność oferty z wymaganiami wymi</w:t>
      </w:r>
      <w:r w:rsidR="00B34D61">
        <w:t>enionymi</w:t>
      </w:r>
      <w:r w:rsidR="00376410">
        <w:t xml:space="preserve"> w pozycjach: </w:t>
      </w:r>
      <w:r w:rsidR="00A04D0F">
        <w:t>3, 1</w:t>
      </w:r>
      <w:r w:rsidR="00E01FB3">
        <w:t>1</w:t>
      </w:r>
      <w:r w:rsidR="00A04D0F">
        <w:t>, 1</w:t>
      </w:r>
      <w:r w:rsidR="00E01FB3">
        <w:t>5</w:t>
      </w:r>
      <w:r w:rsidR="00A04D0F">
        <w:t>, 1</w:t>
      </w:r>
      <w:r w:rsidR="00E01FB3">
        <w:t>7</w:t>
      </w:r>
      <w:r w:rsidR="00A04D0F">
        <w:t>-</w:t>
      </w:r>
      <w:r w:rsidR="00E01FB3">
        <w:t>18</w:t>
      </w:r>
      <w:r w:rsidR="00A04D0F">
        <w:t xml:space="preserve">c, </w:t>
      </w:r>
      <w:r w:rsidR="00E01FB3">
        <w:t>19</w:t>
      </w:r>
      <w:r w:rsidR="00A04D0F">
        <w:t>b-2</w:t>
      </w:r>
      <w:r w:rsidR="00E01FB3">
        <w:t>0</w:t>
      </w:r>
      <w:r w:rsidR="00A04D0F">
        <w:t>.</w:t>
      </w:r>
      <w:r w:rsidRPr="0084160A">
        <w:t xml:space="preserve"> </w:t>
      </w:r>
    </w:p>
    <w:p w14:paraId="005F5D1C" w14:textId="77777777" w:rsidR="0084160A" w:rsidRPr="0084160A" w:rsidRDefault="0084160A" w:rsidP="00B34D61"/>
    <w:p w14:paraId="65839AB7" w14:textId="77777777" w:rsidR="0084160A" w:rsidRDefault="0084160A" w:rsidP="0084160A">
      <w:pPr>
        <w:spacing w:line="240" w:lineRule="exact"/>
      </w:pPr>
    </w:p>
    <w:p w14:paraId="04D34A62" w14:textId="77777777" w:rsidR="00374119" w:rsidRPr="0084160A" w:rsidRDefault="00374119" w:rsidP="0084160A">
      <w:pPr>
        <w:spacing w:line="240" w:lineRule="exact"/>
      </w:pPr>
    </w:p>
    <w:p w14:paraId="38D942AE" w14:textId="77777777" w:rsidR="0084160A" w:rsidRPr="0084160A" w:rsidRDefault="0084160A" w:rsidP="00374119">
      <w:pPr>
        <w:spacing w:line="240" w:lineRule="exact"/>
        <w:ind w:left="1701" w:right="5930"/>
        <w:jc w:val="center"/>
      </w:pPr>
      <w:r w:rsidRPr="0084160A">
        <w:t>…………………………</w:t>
      </w:r>
    </w:p>
    <w:p w14:paraId="01DFE614" w14:textId="77777777" w:rsidR="0084160A" w:rsidRPr="0084160A" w:rsidRDefault="0084160A" w:rsidP="00374119">
      <w:pPr>
        <w:spacing w:line="240" w:lineRule="exact"/>
        <w:ind w:left="1701" w:right="5930"/>
        <w:jc w:val="center"/>
        <w:rPr>
          <w:i/>
          <w:sz w:val="20"/>
          <w:szCs w:val="20"/>
        </w:rPr>
      </w:pPr>
      <w:r w:rsidRPr="0084160A">
        <w:rPr>
          <w:i/>
          <w:sz w:val="20"/>
          <w:szCs w:val="20"/>
        </w:rPr>
        <w:t>Podpis i pieczęć Oferenta</w:t>
      </w:r>
    </w:p>
    <w:p w14:paraId="058A5114" w14:textId="77777777" w:rsidR="0084160A" w:rsidRPr="0084160A" w:rsidRDefault="0084160A" w:rsidP="0084160A">
      <w:pPr>
        <w:spacing w:line="240" w:lineRule="exact"/>
      </w:pPr>
    </w:p>
    <w:p w14:paraId="26552E82" w14:textId="77777777" w:rsidR="0084160A" w:rsidRPr="0084160A" w:rsidRDefault="0084160A" w:rsidP="00B34D61"/>
    <w:p w14:paraId="1030E6AA" w14:textId="29655EBB" w:rsidR="00C54D2C" w:rsidRDefault="0084160A" w:rsidP="00A04D0F">
      <w:r w:rsidRPr="0084160A">
        <w:t xml:space="preserve">*Pozycje </w:t>
      </w:r>
      <w:r w:rsidR="00B34D61">
        <w:t>1-</w:t>
      </w:r>
      <w:r w:rsidR="00E01FB3">
        <w:t>2</w:t>
      </w:r>
      <w:r w:rsidR="00A04D0F">
        <w:t>, 4-</w:t>
      </w:r>
      <w:r w:rsidR="00E01FB3">
        <w:t>10</w:t>
      </w:r>
      <w:r w:rsidR="00A04D0F">
        <w:t>, 1</w:t>
      </w:r>
      <w:r w:rsidR="00E01FB3">
        <w:t>2</w:t>
      </w:r>
      <w:r w:rsidR="00A04D0F">
        <w:t>-1</w:t>
      </w:r>
      <w:r w:rsidR="00E01FB3">
        <w:t>4</w:t>
      </w:r>
      <w:r w:rsidR="00A04D0F">
        <w:t>, 1</w:t>
      </w:r>
      <w:r w:rsidR="00E01FB3">
        <w:t>6</w:t>
      </w:r>
      <w:r w:rsidR="00A04D0F">
        <w:t xml:space="preserve"> i </w:t>
      </w:r>
      <w:r w:rsidR="00E01FB3">
        <w:t>19</w:t>
      </w:r>
      <w:r w:rsidR="00A04D0F">
        <w:t>a</w:t>
      </w:r>
      <w:r w:rsidRPr="0084160A">
        <w:t xml:space="preserve">, </w:t>
      </w:r>
      <w:r w:rsidR="00CA6559">
        <w:t xml:space="preserve">21, </w:t>
      </w:r>
      <w:r w:rsidRPr="0084160A">
        <w:t>należy uzupełnić opisowo wpisując nazwę, typ, parametry, oferowane wyposażenie.</w:t>
      </w:r>
    </w:p>
    <w:p w14:paraId="4E3F0D0A" w14:textId="63E429D9" w:rsidR="00A204FC" w:rsidRDefault="00A204FC" w:rsidP="00A04D0F"/>
    <w:p w14:paraId="6841E30F" w14:textId="0D62389D" w:rsidR="00CA6559" w:rsidRPr="0011063D" w:rsidRDefault="00CA6559" w:rsidP="00CA6559">
      <w:pPr>
        <w:spacing w:after="160" w:line="259" w:lineRule="auto"/>
        <w:rPr>
          <w:bCs/>
        </w:rPr>
      </w:pPr>
      <w:r w:rsidRPr="0011063D">
        <w:rPr>
          <w:bCs/>
        </w:rPr>
        <w:t>**Warunki równoważności zawiera Załącznik 1</w:t>
      </w:r>
      <w:r>
        <w:rPr>
          <w:bCs/>
        </w:rPr>
        <w:t>C</w:t>
      </w:r>
      <w:r w:rsidRPr="0011063D">
        <w:rPr>
          <w:bCs/>
        </w:rPr>
        <w:t>.</w:t>
      </w:r>
    </w:p>
    <w:p w14:paraId="43265548" w14:textId="30A270C4" w:rsidR="00A204FC" w:rsidRDefault="00A204FC">
      <w:pPr>
        <w:spacing w:after="160" w:line="259" w:lineRule="auto"/>
      </w:pPr>
      <w:r>
        <w:br w:type="page"/>
      </w:r>
    </w:p>
    <w:p w14:paraId="58F175D5" w14:textId="77777777" w:rsidR="00A204FC" w:rsidRPr="00426F6A" w:rsidRDefault="00A204FC" w:rsidP="00A204FC">
      <w:pPr>
        <w:jc w:val="right"/>
      </w:pPr>
      <w:r w:rsidRPr="00426F6A">
        <w:rPr>
          <w:b/>
        </w:rPr>
        <w:lastRenderedPageBreak/>
        <w:t>Załącznik nr 1C</w:t>
      </w:r>
    </w:p>
    <w:p w14:paraId="42425641" w14:textId="77777777" w:rsidR="00A204FC" w:rsidRPr="00426F6A" w:rsidRDefault="00A204FC" w:rsidP="00A204FC"/>
    <w:p w14:paraId="1FF7AD42" w14:textId="77777777" w:rsidR="00CA6559" w:rsidRDefault="00CA6559" w:rsidP="0011063D">
      <w:pPr>
        <w:spacing w:after="160" w:line="259" w:lineRule="auto"/>
        <w:rPr>
          <w:bCs/>
        </w:rPr>
      </w:pPr>
    </w:p>
    <w:p w14:paraId="024E9F45" w14:textId="7A2FAB06" w:rsidR="0011063D" w:rsidRPr="00CA6559" w:rsidRDefault="0011063D" w:rsidP="0011063D">
      <w:pPr>
        <w:spacing w:after="160" w:line="259" w:lineRule="auto"/>
        <w:rPr>
          <w:b/>
        </w:rPr>
      </w:pPr>
      <w:r w:rsidRPr="00CA6559">
        <w:rPr>
          <w:b/>
        </w:rPr>
        <w:t>Warunki równoważności dla oprogramowania (Załączniki 1</w:t>
      </w:r>
      <w:r w:rsidR="00CA6559">
        <w:rPr>
          <w:b/>
        </w:rPr>
        <w:t>A</w:t>
      </w:r>
      <w:r w:rsidRPr="00CA6559">
        <w:rPr>
          <w:b/>
        </w:rPr>
        <w:t>-1</w:t>
      </w:r>
      <w:r w:rsidR="00CA6559">
        <w:rPr>
          <w:b/>
        </w:rPr>
        <w:t>B</w:t>
      </w:r>
      <w:r w:rsidRPr="00CA6559">
        <w:rPr>
          <w:b/>
        </w:rPr>
        <w:t>)</w:t>
      </w:r>
    </w:p>
    <w:p w14:paraId="723C5B0A" w14:textId="77777777" w:rsidR="0011063D" w:rsidRDefault="0011063D" w:rsidP="0011063D">
      <w:pPr>
        <w:pStyle w:val="Nagwek2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26F6A">
        <w:rPr>
          <w:rFonts w:ascii="Times New Roman" w:hAnsi="Times New Roman" w:cs="Times New Roman"/>
          <w:sz w:val="24"/>
          <w:szCs w:val="24"/>
        </w:rPr>
        <w:t>Środowisko serwerowe Zamawiającego (posiadane obecnie).</w:t>
      </w:r>
    </w:p>
    <w:p w14:paraId="107D92F6" w14:textId="77777777" w:rsidR="0011063D" w:rsidRPr="00426F6A" w:rsidRDefault="0011063D" w:rsidP="0011063D"/>
    <w:p w14:paraId="7AB1815F" w14:textId="1D633D98" w:rsidR="006B2AC3" w:rsidRPr="0009693F" w:rsidRDefault="006B2AC3" w:rsidP="006B2AC3">
      <w:pPr>
        <w:jc w:val="both"/>
      </w:pPr>
      <w:bookmarkStart w:id="1" w:name="_Hlk34394333"/>
      <w:r w:rsidRPr="0009693F">
        <w:t>Od roku 2014 Zamawiający posiada środowisko serwerowe oparte o serwery Windows Server 2012R2 Datacenter, zakupione w trybie przetargu nieograniczonego, składające się z dwóch węzłów (dalej: Node1 i Node2) stanowiących klaster Microsoft Hyper-V (dalej: klaster Hyper-V lub HV). Node1 i node2 to fizyczne serwery z zainstalowanym oprogramowaniem Windows Server.</w:t>
      </w:r>
      <w:r w:rsidR="00CC0865">
        <w:t xml:space="preserve"> W skład środowiska HV wchodzą również macierz dyskowa oraz serwery fizyczne (SC oraz AD).</w:t>
      </w:r>
    </w:p>
    <w:p w14:paraId="4201B4F5" w14:textId="7FB89115" w:rsidR="006B2AC3" w:rsidRPr="0009693F" w:rsidRDefault="006B2AC3" w:rsidP="006B2AC3">
      <w:pPr>
        <w:jc w:val="both"/>
      </w:pPr>
      <w:r w:rsidRPr="0009693F">
        <w:t>W roku 2019, wersje systemów operacyjnych 2012R2 zostały podniesione do Windows Server 2019 Datacenter z uruchomioną usługą Hyper-V.</w:t>
      </w:r>
    </w:p>
    <w:p w14:paraId="3C7B9274" w14:textId="6116C7F4" w:rsidR="0011063D" w:rsidRPr="00426F6A" w:rsidRDefault="00A62221" w:rsidP="006B2AC3">
      <w:pPr>
        <w:jc w:val="both"/>
      </w:pPr>
      <w:r>
        <w:br/>
      </w:r>
      <w:r w:rsidR="0011063D" w:rsidRPr="00426F6A">
        <w:t xml:space="preserve">W ramach klastra Hyper-V wdrożone są w szczególności: </w:t>
      </w:r>
    </w:p>
    <w:bookmarkEnd w:id="1"/>
    <w:p w14:paraId="6BAE309F" w14:textId="77777777" w:rsidR="0011063D" w:rsidRPr="00426F6A" w:rsidRDefault="0011063D" w:rsidP="0011063D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426F6A">
        <w:t>Licencjonowane uruchomienie dowolnej</w:t>
      </w:r>
      <w:r w:rsidRPr="00426F6A">
        <w:rPr>
          <w:rStyle w:val="Odwoanieprzypisudolnego"/>
        </w:rPr>
        <w:footnoteReference w:id="1"/>
      </w:r>
      <w:r w:rsidRPr="00426F6A">
        <w:t xml:space="preserve"> liczby serwerów Windows Server</w:t>
      </w:r>
      <w:r>
        <w:t xml:space="preserve"> na każdym węźle klastra</w:t>
      </w:r>
      <w:r w:rsidRPr="00426F6A">
        <w:t>.</w:t>
      </w:r>
    </w:p>
    <w:p w14:paraId="148C44B7" w14:textId="77777777" w:rsidR="0011063D" w:rsidRPr="004972B3" w:rsidRDefault="0011063D" w:rsidP="0011063D">
      <w:pPr>
        <w:pStyle w:val="Akapitzlist"/>
        <w:numPr>
          <w:ilvl w:val="0"/>
          <w:numId w:val="1"/>
        </w:numPr>
        <w:spacing w:after="160" w:line="259" w:lineRule="auto"/>
        <w:jc w:val="both"/>
        <w:rPr>
          <w:lang w:val="en-US"/>
        </w:rPr>
      </w:pPr>
      <w:proofErr w:type="spellStart"/>
      <w:r w:rsidRPr="004972B3">
        <w:rPr>
          <w:lang w:val="en-US"/>
        </w:rPr>
        <w:t>Integracja</w:t>
      </w:r>
      <w:proofErr w:type="spellEnd"/>
      <w:r w:rsidRPr="004972B3">
        <w:rPr>
          <w:lang w:val="en-US"/>
        </w:rPr>
        <w:t xml:space="preserve"> z Microsoft Active Directory.</w:t>
      </w:r>
    </w:p>
    <w:p w14:paraId="6434EB2F" w14:textId="77777777" w:rsidR="0011063D" w:rsidRPr="00426F6A" w:rsidRDefault="0011063D" w:rsidP="0011063D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426F6A">
        <w:t>Wysoka dostępność (HA) dla zainstalowanych maszyn wirtualnych (VM).</w:t>
      </w:r>
    </w:p>
    <w:p w14:paraId="5D2F4795" w14:textId="77777777" w:rsidR="0011063D" w:rsidRPr="00426F6A" w:rsidRDefault="0011063D" w:rsidP="0011063D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426F6A">
        <w:t>Tworzenie i uruchamianie punktów kontrolnych (</w:t>
      </w:r>
      <w:proofErr w:type="spellStart"/>
      <w:r w:rsidRPr="00426F6A">
        <w:t>checkpoints</w:t>
      </w:r>
      <w:proofErr w:type="spellEnd"/>
      <w:r w:rsidRPr="00426F6A">
        <w:t>) - dla dowolnej liczby maszyn wirtualnych, działających na różnych systemach operacyjnych (m. in. Windows Server 2012 (R2), 2016, 2019; Linux x64 różnych dystrybucji).</w:t>
      </w:r>
    </w:p>
    <w:p w14:paraId="79DA1357" w14:textId="77777777" w:rsidR="0011063D" w:rsidRPr="00426F6A" w:rsidRDefault="0011063D" w:rsidP="0011063D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trike/>
        </w:rPr>
      </w:pPr>
      <w:r w:rsidRPr="00426F6A">
        <w:t>Automatyczną zmianę ustawień pamięci RAM a także dysków podczas pracy maszyny wirtualnej.</w:t>
      </w:r>
    </w:p>
    <w:p w14:paraId="3E24E63E" w14:textId="77777777" w:rsidR="0011063D" w:rsidRPr="00426F6A" w:rsidRDefault="0011063D" w:rsidP="0011063D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426F6A">
        <w:t xml:space="preserve">Przenoszenie uruchomionych maszyn wirtualnych pomiędzy węzłami klastra Hyper-V z zachowaniem ciągłości i integralności jej pracy (live </w:t>
      </w:r>
      <w:proofErr w:type="spellStart"/>
      <w:r w:rsidRPr="00426F6A">
        <w:t>migration</w:t>
      </w:r>
      <w:proofErr w:type="spellEnd"/>
      <w:r w:rsidRPr="00426F6A">
        <w:t>).</w:t>
      </w:r>
    </w:p>
    <w:p w14:paraId="28A1B942" w14:textId="7CA55BAB" w:rsidR="0011063D" w:rsidRPr="00426F6A" w:rsidRDefault="0011063D" w:rsidP="0011063D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426F6A">
        <w:t xml:space="preserve">Replikacja asynchroniczna maszyn wirtualnych (Hyper-V </w:t>
      </w:r>
      <w:proofErr w:type="spellStart"/>
      <w:r w:rsidRPr="00426F6A">
        <w:t>Repli</w:t>
      </w:r>
      <w:r w:rsidR="005518B2">
        <w:t>c</w:t>
      </w:r>
      <w:r w:rsidRPr="00426F6A">
        <w:t>a</w:t>
      </w:r>
      <w:proofErr w:type="spellEnd"/>
      <w:r w:rsidRPr="00426F6A">
        <w:t>).</w:t>
      </w:r>
    </w:p>
    <w:p w14:paraId="5F4CDF8F" w14:textId="77777777" w:rsidR="0011063D" w:rsidRPr="00426F6A" w:rsidRDefault="0011063D" w:rsidP="0011063D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426F6A">
        <w:t>Wirtualny przełącznik (Hyper-V Virtual Switch).</w:t>
      </w:r>
    </w:p>
    <w:p w14:paraId="23294ED6" w14:textId="77777777" w:rsidR="0011063D" w:rsidRPr="00426F6A" w:rsidRDefault="0011063D" w:rsidP="0011063D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426F6A">
        <w:t>Aplikowanie poprawek przy użyciu dedykowanej usługi (Cluster-</w:t>
      </w:r>
      <w:proofErr w:type="spellStart"/>
      <w:r w:rsidRPr="00426F6A">
        <w:t>Aware</w:t>
      </w:r>
      <w:proofErr w:type="spellEnd"/>
      <w:r w:rsidRPr="00426F6A">
        <w:t xml:space="preserve"> </w:t>
      </w:r>
      <w:proofErr w:type="spellStart"/>
      <w:r w:rsidRPr="00426F6A">
        <w:t>Updating</w:t>
      </w:r>
      <w:proofErr w:type="spellEnd"/>
      <w:r w:rsidRPr="00426F6A">
        <w:t>).</w:t>
      </w:r>
    </w:p>
    <w:p w14:paraId="02C23213" w14:textId="77777777" w:rsidR="0011063D" w:rsidRPr="00426F6A" w:rsidRDefault="0011063D" w:rsidP="0011063D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426F6A">
        <w:t>Mechanizm szyfrowania dysków.</w:t>
      </w:r>
    </w:p>
    <w:p w14:paraId="6F07BD92" w14:textId="77777777" w:rsidR="0011063D" w:rsidRPr="00426F6A" w:rsidRDefault="0011063D" w:rsidP="0011063D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426F6A">
        <w:t>Zarządzanie kluczami licencyjnymi poprzez dedykowany portal internetowy producenta oprogramowania.</w:t>
      </w:r>
    </w:p>
    <w:p w14:paraId="17006C80" w14:textId="77777777" w:rsidR="0011063D" w:rsidRPr="00426F6A" w:rsidRDefault="0011063D" w:rsidP="0011063D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426F6A">
        <w:t>Dane są przechowywane w siedzibie Zamawiającego.</w:t>
      </w:r>
    </w:p>
    <w:p w14:paraId="064F289F" w14:textId="1186AA37" w:rsidR="0011063D" w:rsidRPr="005F2DF9" w:rsidRDefault="0011063D" w:rsidP="0011063D">
      <w:pPr>
        <w:jc w:val="both"/>
      </w:pPr>
      <w:r w:rsidRPr="00426F6A">
        <w:t xml:space="preserve">Klaster Hyper-V jest uzupełniony dodatkowymi serwerami </w:t>
      </w:r>
      <w:r w:rsidR="00C92C7B">
        <w:t xml:space="preserve">fizycznymi oraz wirtualnymi, </w:t>
      </w:r>
      <w:r w:rsidRPr="00426F6A">
        <w:t xml:space="preserve">niebędącymi jego maszynami wirtualnymi. Serwery te są odpowiedzialne za usługę zarządzania maszynami wirtualnymi klastra Hyper-V System Center Virtual Machine Manager, zarządzanie kopiami zapasowymi System Center Data </w:t>
      </w:r>
      <w:proofErr w:type="spellStart"/>
      <w:r w:rsidRPr="00426F6A">
        <w:t>Protection</w:t>
      </w:r>
      <w:proofErr w:type="spellEnd"/>
      <w:r w:rsidRPr="00426F6A">
        <w:t xml:space="preserve"> Manager (dalej: serwer System Center lub SC) oraz serwera stanowiącego dodatkowy kontroler domeny (dalej: serwer Active Directory lub AD). Serwery SC posiadają wdrożony pakiet oprogramowania Microsoft System Center oraz system operacyjny Windows Ser</w:t>
      </w:r>
      <w:r w:rsidR="00C92C7B">
        <w:t>v</w:t>
      </w:r>
      <w:r w:rsidRPr="00426F6A">
        <w:t xml:space="preserve">er 2019. Serwer AD pełni rolę usługi katalogowej Active </w:t>
      </w:r>
      <w:r w:rsidRPr="005F2DF9">
        <w:t xml:space="preserve">Directory </w:t>
      </w:r>
      <w:proofErr w:type="spellStart"/>
      <w:r w:rsidRPr="005F2DF9">
        <w:t>Domain</w:t>
      </w:r>
      <w:proofErr w:type="spellEnd"/>
      <w:r w:rsidRPr="005F2DF9">
        <w:t xml:space="preserve"> Services. Node1 i node2 korzystają ze wspólnej przestrzeni dyskowej w postaci macierzy.</w:t>
      </w:r>
      <w:r w:rsidR="00803E25" w:rsidRPr="005F2DF9">
        <w:t xml:space="preserve"> Macierz jest zaalokowana w całości </w:t>
      </w:r>
      <w:r w:rsidR="00556F3B" w:rsidRPr="005F2DF9">
        <w:t xml:space="preserve">na potrzeby SC </w:t>
      </w:r>
      <w:r w:rsidR="00803E25" w:rsidRPr="005F2DF9">
        <w:t xml:space="preserve">i nie posiada </w:t>
      </w:r>
      <w:r w:rsidR="00556F3B" w:rsidRPr="005F2DF9">
        <w:t>wolnej powierzchni</w:t>
      </w:r>
      <w:r w:rsidR="00803E25" w:rsidRPr="005F2DF9">
        <w:t>.</w:t>
      </w:r>
    </w:p>
    <w:p w14:paraId="25D5FF21" w14:textId="36268F8F" w:rsidR="0011063D" w:rsidRPr="00426F6A" w:rsidRDefault="0011063D" w:rsidP="0011063D">
      <w:pPr>
        <w:jc w:val="both"/>
      </w:pPr>
      <w:r w:rsidRPr="00426F6A">
        <w:t xml:space="preserve">Serwery SC posiadają wdrożony system zarządzania maszynami wirtualnymi Microsoft System Center Virtual Machine Manager i system zarządzania kopiami zapasowymi System Center Data </w:t>
      </w:r>
      <w:proofErr w:type="spellStart"/>
      <w:r w:rsidRPr="00426F6A">
        <w:t>Protection</w:t>
      </w:r>
      <w:proofErr w:type="spellEnd"/>
      <w:r w:rsidRPr="00426F6A">
        <w:t xml:space="preserve"> Manager umożliwiające </w:t>
      </w:r>
      <w:r w:rsidR="00A62221">
        <w:t xml:space="preserve">w </w:t>
      </w:r>
      <w:r w:rsidRPr="00426F6A">
        <w:t>szczególności:</w:t>
      </w:r>
    </w:p>
    <w:p w14:paraId="1DA964A4" w14:textId="77777777" w:rsidR="0011063D" w:rsidRPr="00426F6A" w:rsidRDefault="0011063D" w:rsidP="0011063D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426F6A">
        <w:t>Zarządzanie wirtualną oraz fizyczną infrastrukturą serwerową i sieciową.</w:t>
      </w:r>
    </w:p>
    <w:p w14:paraId="06869E48" w14:textId="77777777" w:rsidR="0011063D" w:rsidRPr="00426F6A" w:rsidRDefault="0011063D" w:rsidP="0011063D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426F6A">
        <w:t>Zarządzanie stanem maszyn wirtualnych.</w:t>
      </w:r>
    </w:p>
    <w:p w14:paraId="7572D432" w14:textId="77777777" w:rsidR="0011063D" w:rsidRPr="00426F6A" w:rsidRDefault="0011063D" w:rsidP="0011063D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426F6A">
        <w:t>Wdrażanie, wycofywanie, tworzenie szablonów maszyn wirtualnych.</w:t>
      </w:r>
    </w:p>
    <w:p w14:paraId="51436A2A" w14:textId="77777777" w:rsidR="0011063D" w:rsidRPr="00426F6A" w:rsidRDefault="0011063D" w:rsidP="0011063D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426F6A">
        <w:t>Bieżące monitorowanie parametrów pracy klastra Hyper-V.</w:t>
      </w:r>
    </w:p>
    <w:p w14:paraId="224CAB98" w14:textId="77777777" w:rsidR="0011063D" w:rsidRPr="00426F6A" w:rsidRDefault="0011063D" w:rsidP="0011063D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426F6A">
        <w:t>Programowanie skryptów automatycznych wg dokumentacji producenta (tzw. CLI).</w:t>
      </w:r>
    </w:p>
    <w:p w14:paraId="725FB3FE" w14:textId="77777777" w:rsidR="0011063D" w:rsidRPr="00426F6A" w:rsidRDefault="0011063D" w:rsidP="0011063D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426F6A">
        <w:lastRenderedPageBreak/>
        <w:t>Wykonywanie kopii całych maszyn wirtualnych lub wybranych dysków (z zachowaniem ciągłości ich pracy).</w:t>
      </w:r>
    </w:p>
    <w:p w14:paraId="5C8905F1" w14:textId="77777777" w:rsidR="0011063D" w:rsidRPr="00426F6A" w:rsidRDefault="0011063D" w:rsidP="0011063D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426F6A">
        <w:t>Wykonywanie kopii w trybie pełnym, przyrostowym i różnicowym,</w:t>
      </w:r>
    </w:p>
    <w:p w14:paraId="0FB5D355" w14:textId="77777777" w:rsidR="0011063D" w:rsidRPr="00426F6A" w:rsidRDefault="0011063D" w:rsidP="0011063D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426F6A">
        <w:t>odzyskiwanie całych maszyn wirtualnych lub wybranych dysków na wskazanym węźle klastra Hyper-V.</w:t>
      </w:r>
    </w:p>
    <w:p w14:paraId="4D79231E" w14:textId="77777777" w:rsidR="0011063D" w:rsidRPr="00426F6A" w:rsidRDefault="0011063D" w:rsidP="0011063D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426F6A">
        <w:t>Harmonogram wykonywania kopii serwerów.</w:t>
      </w:r>
    </w:p>
    <w:p w14:paraId="3B451B6D" w14:textId="77777777" w:rsidR="0011063D" w:rsidRPr="00426F6A" w:rsidRDefault="0011063D" w:rsidP="0011063D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426F6A">
        <w:t>Mechanizm do kontroli poprawności wykonanej kopii.</w:t>
      </w:r>
    </w:p>
    <w:p w14:paraId="653A0328" w14:textId="77777777" w:rsidR="0011063D" w:rsidRPr="00426F6A" w:rsidRDefault="0011063D" w:rsidP="0011063D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426F6A">
        <w:t>Mechanizm magazynu warstwowego.</w:t>
      </w:r>
    </w:p>
    <w:p w14:paraId="7D97F835" w14:textId="77777777" w:rsidR="0011063D" w:rsidRPr="00426F6A" w:rsidRDefault="0011063D" w:rsidP="0011063D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426F6A">
        <w:t>Dane są przechowywane w siedzibie Zamawiającego.</w:t>
      </w:r>
    </w:p>
    <w:p w14:paraId="4A1A11EC" w14:textId="388C79DE" w:rsidR="0011063D" w:rsidRPr="00426F6A" w:rsidRDefault="0011063D" w:rsidP="0011063D">
      <w:pPr>
        <w:jc w:val="both"/>
      </w:pPr>
      <w:r w:rsidRPr="00426F6A">
        <w:t xml:space="preserve">Z uwagi na obszerny zakres zastosowanych technologii Zamawiający wymienił jedynie ich najważniejsze cechy. Dostawca powinien mieć świadomość, zapoznać się i wziąć pod uwagę pozostałe, niewymienione </w:t>
      </w:r>
      <w:r w:rsidR="00A62221">
        <w:br/>
      </w:r>
      <w:r w:rsidRPr="00426F6A">
        <w:t xml:space="preserve">w niniejszym dokumencie moduły, funkcje i role dostępne w oprogramowaniu Microsoft Windows Datacenter 2019 oraz Microsoft System Center Datacenter 2019. Należy przyjąć, że niewymienione moduły, funkcje </w:t>
      </w:r>
      <w:r w:rsidR="00A62221">
        <w:br/>
      </w:r>
      <w:r w:rsidRPr="00426F6A">
        <w:t>i role są lub będą w przyszłości uruchomione w rozbudowanym środowisku klastra Hyper-V. Wobec powyższego oprogramowanie równoważnie nie może w całości lub w części ograniczać tych uprawnień.</w:t>
      </w:r>
    </w:p>
    <w:p w14:paraId="652E708F" w14:textId="77777777" w:rsidR="0011063D" w:rsidRDefault="0011063D" w:rsidP="0011063D">
      <w:pPr>
        <w:jc w:val="both"/>
      </w:pPr>
      <w:r w:rsidRPr="00426F6A">
        <w:t xml:space="preserve">Opisane powyżej środowisko serwerowe Zamawiającego zwane jest dalej środowiskiem serwerowym Hyper-V. Dostawca nie może ingerować w </w:t>
      </w:r>
      <w:r>
        <w:t xml:space="preserve">obecne </w:t>
      </w:r>
      <w:r w:rsidRPr="00426F6A">
        <w:t>środowisko serwerowe Hyper-V.</w:t>
      </w:r>
    </w:p>
    <w:p w14:paraId="41A11862" w14:textId="77777777" w:rsidR="0011063D" w:rsidRPr="00426F6A" w:rsidRDefault="0011063D" w:rsidP="0011063D">
      <w:pPr>
        <w:jc w:val="both"/>
      </w:pPr>
    </w:p>
    <w:p w14:paraId="5C3139CC" w14:textId="4C2BBDF7" w:rsidR="0011063D" w:rsidRDefault="0011063D" w:rsidP="0011063D">
      <w:pPr>
        <w:pStyle w:val="Nagwek2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26F6A">
        <w:rPr>
          <w:rFonts w:ascii="Times New Roman" w:hAnsi="Times New Roman" w:cs="Times New Roman"/>
          <w:sz w:val="24"/>
          <w:szCs w:val="24"/>
        </w:rPr>
        <w:t>Docelowe środowisko serwerowe Zamawiającego.</w:t>
      </w:r>
    </w:p>
    <w:p w14:paraId="452382D3" w14:textId="77777777" w:rsidR="004C1E41" w:rsidRPr="004C1E41" w:rsidRDefault="004C1E41" w:rsidP="004C1E41"/>
    <w:p w14:paraId="67832AE9" w14:textId="002C11B2" w:rsidR="0011063D" w:rsidRPr="00426F6A" w:rsidRDefault="0011063D" w:rsidP="0011063D">
      <w:pPr>
        <w:jc w:val="both"/>
      </w:pPr>
      <w:r w:rsidRPr="00426F6A">
        <w:t xml:space="preserve">Zamawiający w ramach niniejszego postępowania rozszerza swoje istniejące środowisko serwerowe Hyper-V o dodatkowe dwa nowe serwery, stanowiące dwa nowe węzły (dalej: nowy </w:t>
      </w:r>
      <w:r>
        <w:t>N</w:t>
      </w:r>
      <w:r w:rsidRPr="00426F6A">
        <w:t xml:space="preserve">ode3 i nowy </w:t>
      </w:r>
      <w:r>
        <w:t>N</w:t>
      </w:r>
      <w:r w:rsidRPr="00426F6A">
        <w:t xml:space="preserve">ode4) </w:t>
      </w:r>
      <w:r w:rsidR="00A62221">
        <w:br/>
      </w:r>
      <w:r w:rsidRPr="00426F6A">
        <w:t xml:space="preserve">z zachowaniem integralności </w:t>
      </w:r>
      <w:r w:rsidR="008D37FE">
        <w:t xml:space="preserve">istniejącego oraz docelowego </w:t>
      </w:r>
      <w:r w:rsidRPr="00426F6A">
        <w:t xml:space="preserve">środowiska. </w:t>
      </w:r>
    </w:p>
    <w:p w14:paraId="2E122AC0" w14:textId="69B4DA78" w:rsidR="0011063D" w:rsidRPr="005F2DF9" w:rsidRDefault="0011063D" w:rsidP="0011063D">
      <w:pPr>
        <w:jc w:val="both"/>
      </w:pPr>
      <w:r w:rsidRPr="00426F6A">
        <w:t xml:space="preserve">Według </w:t>
      </w:r>
      <w:r w:rsidRPr="005F2DF9">
        <w:t>Zamawiającego</w:t>
      </w:r>
      <w:r w:rsidR="004209F6">
        <w:t>,</w:t>
      </w:r>
      <w:r w:rsidRPr="005F2DF9">
        <w:t xml:space="preserve"> integralność środowiska rozumiana jest jako zwiększenie mocy obliczeniowej klastra</w:t>
      </w:r>
      <w:r w:rsidR="009717CD" w:rsidRPr="005F2DF9">
        <w:t>, bez utraty posiadanych obecnie funkcjonalności,</w:t>
      </w:r>
      <w:r w:rsidRPr="005F2DF9">
        <w:t xml:space="preserve"> Hyper-V w ten sposób, że nowy Node3 i nowy Node4 będą zaimplementowane do istniejącego klastra oraz zintegrowane z posiadanymi usługami opisanymi w punkcie 1, ponadto będą w pełni umożliwiały m. in.:</w:t>
      </w:r>
    </w:p>
    <w:p w14:paraId="5CD3F04A" w14:textId="7AB86D99" w:rsidR="009717CD" w:rsidRPr="005F2DF9" w:rsidRDefault="001C60E3" w:rsidP="0011063D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5F2DF9">
        <w:t>U</w:t>
      </w:r>
      <w:r w:rsidR="009717CD" w:rsidRPr="005F2DF9">
        <w:t>trzyman</w:t>
      </w:r>
      <w:r w:rsidR="00441994" w:rsidRPr="005F2DF9">
        <w:t>i</w:t>
      </w:r>
      <w:r w:rsidR="009717CD" w:rsidRPr="005F2DF9">
        <w:t>e posiadan</w:t>
      </w:r>
      <w:r w:rsidRPr="005F2DF9">
        <w:t>ych</w:t>
      </w:r>
      <w:r w:rsidR="009717CD" w:rsidRPr="005F2DF9">
        <w:t xml:space="preserve"> funkcjonalności</w:t>
      </w:r>
      <w:r w:rsidRPr="005F2DF9">
        <w:t xml:space="preserve"> środowiska serwerowego</w:t>
      </w:r>
      <w:r w:rsidR="009717CD" w:rsidRPr="005F2DF9">
        <w:t>,</w:t>
      </w:r>
    </w:p>
    <w:p w14:paraId="09FED621" w14:textId="3A54E8FD" w:rsidR="0011063D" w:rsidRPr="00426F6A" w:rsidRDefault="0011063D" w:rsidP="0011063D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426F6A">
        <w:t xml:space="preserve">Tworzenie i uruchamianie </w:t>
      </w:r>
      <w:r w:rsidR="002871EC">
        <w:t>120</w:t>
      </w:r>
      <w:r w:rsidRPr="00426F6A">
        <w:t xml:space="preserve"> maszyn wirtualnych na nowym </w:t>
      </w:r>
      <w:r>
        <w:t>N</w:t>
      </w:r>
      <w:r w:rsidRPr="00426F6A">
        <w:t xml:space="preserve">ode3 i </w:t>
      </w:r>
      <w:r>
        <w:t>N</w:t>
      </w:r>
      <w:r w:rsidRPr="00426F6A">
        <w:t>ode4</w:t>
      </w:r>
      <w:r w:rsidRPr="00426F6A">
        <w:rPr>
          <w:rStyle w:val="Odwoanieprzypisudolnego"/>
        </w:rPr>
        <w:footnoteReference w:id="2"/>
      </w:r>
      <w:r w:rsidRPr="00426F6A">
        <w:t>.</w:t>
      </w:r>
    </w:p>
    <w:p w14:paraId="10696351" w14:textId="341D44BB" w:rsidR="0011063D" w:rsidRPr="00426F6A" w:rsidRDefault="0011063D" w:rsidP="0011063D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426F6A">
        <w:t xml:space="preserve">Licencjonowane przechowywanie replik i uruchomienie </w:t>
      </w:r>
      <w:r w:rsidR="005F2DF9" w:rsidRPr="008560F1">
        <w:t>1</w:t>
      </w:r>
      <w:r w:rsidR="004209F6" w:rsidRPr="008560F1">
        <w:t>2</w:t>
      </w:r>
      <w:r w:rsidRPr="008560F1">
        <w:t xml:space="preserve">0 </w:t>
      </w:r>
      <w:r w:rsidRPr="00426F6A">
        <w:t>serwerów Microsoft Windows Server 2012, 2016, 2019.</w:t>
      </w:r>
    </w:p>
    <w:p w14:paraId="3613DE29" w14:textId="519305EC" w:rsidR="0011063D" w:rsidRPr="00426F6A" w:rsidRDefault="0011063D" w:rsidP="0011063D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426F6A">
        <w:t>Zapewnienie przenoszalności działając</w:t>
      </w:r>
      <w:r w:rsidR="00FC69B7">
        <w:t>ych</w:t>
      </w:r>
      <w:r w:rsidRPr="00426F6A">
        <w:t xml:space="preserve"> maszyn wirtualn</w:t>
      </w:r>
      <w:r w:rsidR="00FC69B7">
        <w:t>ych</w:t>
      </w:r>
      <w:r w:rsidRPr="00426F6A">
        <w:t xml:space="preserve"> z </w:t>
      </w:r>
      <w:r>
        <w:t>N</w:t>
      </w:r>
      <w:r w:rsidRPr="00426F6A">
        <w:t xml:space="preserve">ode1 na nowy </w:t>
      </w:r>
      <w:r>
        <w:t>N</w:t>
      </w:r>
      <w:r w:rsidRPr="00426F6A">
        <w:t>ode3 (i z powrotem) z zachowaniem ciągłości i integralności jej pracy</w:t>
      </w:r>
      <w:r w:rsidR="00420E61">
        <w:t>.</w:t>
      </w:r>
    </w:p>
    <w:p w14:paraId="333EAC87" w14:textId="77777777" w:rsidR="0011063D" w:rsidRPr="00426F6A" w:rsidRDefault="0011063D" w:rsidP="0011063D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426F6A">
        <w:t xml:space="preserve">Zarządzanie stanem i konfiguracją maszyn wirtualnych zlokalizowanych na nowym </w:t>
      </w:r>
      <w:r>
        <w:t>N</w:t>
      </w:r>
      <w:r w:rsidRPr="00426F6A">
        <w:t xml:space="preserve">ode3 i nowym </w:t>
      </w:r>
      <w:r>
        <w:t>N</w:t>
      </w:r>
      <w:r w:rsidRPr="00426F6A">
        <w:t>ode4 z sytemu zarządzania maszynami wirtualnymi (serwer SC).</w:t>
      </w:r>
    </w:p>
    <w:p w14:paraId="066D8486" w14:textId="77777777" w:rsidR="0011063D" w:rsidRPr="00426F6A" w:rsidRDefault="0011063D" w:rsidP="0011063D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426F6A">
        <w:t xml:space="preserve">Zarządzanie (w szczególności wykonywanie i odzyskiwanie) kopiami bezpieczeństwa maszyn wirtualnych zlokalizowanych na nowym </w:t>
      </w:r>
      <w:r>
        <w:t>N</w:t>
      </w:r>
      <w:r w:rsidRPr="00426F6A">
        <w:t xml:space="preserve">ode3 i nowym </w:t>
      </w:r>
      <w:r>
        <w:t>N</w:t>
      </w:r>
      <w:r w:rsidRPr="00426F6A">
        <w:t>ode4 z systemem zarządzania kopiami zapasowymi (serwer SC).</w:t>
      </w:r>
    </w:p>
    <w:p w14:paraId="3281B51D" w14:textId="77777777" w:rsidR="0011063D" w:rsidRPr="00426F6A" w:rsidRDefault="0011063D" w:rsidP="0011063D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426F6A">
        <w:t>Objęcie wszystkich węzłów klastra dedykowaną usługą aplikowania poprawek systemowych dla klastra.</w:t>
      </w:r>
    </w:p>
    <w:p w14:paraId="350DE85C" w14:textId="4A580E82" w:rsidR="0011063D" w:rsidRDefault="0011063D" w:rsidP="0011063D">
      <w:pPr>
        <w:pStyle w:val="Nagwek2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26F6A">
        <w:rPr>
          <w:rFonts w:ascii="Times New Roman" w:hAnsi="Times New Roman" w:cs="Times New Roman"/>
          <w:sz w:val="24"/>
          <w:szCs w:val="24"/>
        </w:rPr>
        <w:t>Warunki równoważności dla systemu operacyjnego Microsoft Windows Server Datacenter w wersji 2019</w:t>
      </w:r>
      <w:r>
        <w:rPr>
          <w:rFonts w:ascii="Times New Roman" w:hAnsi="Times New Roman" w:cs="Times New Roman"/>
          <w:sz w:val="24"/>
          <w:szCs w:val="24"/>
        </w:rPr>
        <w:t xml:space="preserve"> (Załącznik 1</w:t>
      </w:r>
      <w:r w:rsidR="006314E8">
        <w:rPr>
          <w:rFonts w:ascii="Times New Roman" w:hAnsi="Times New Roman" w:cs="Times New Roman"/>
          <w:sz w:val="24"/>
          <w:szCs w:val="24"/>
        </w:rPr>
        <w:t>A, Pkt 22a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B1C19EB" w14:textId="77777777" w:rsidR="00A62221" w:rsidRPr="00A62221" w:rsidRDefault="00A62221" w:rsidP="00A62221"/>
    <w:p w14:paraId="7197EE8E" w14:textId="79DB51F8" w:rsidR="0011063D" w:rsidRDefault="0011063D" w:rsidP="0011063D">
      <w:pPr>
        <w:jc w:val="both"/>
      </w:pPr>
      <w:r w:rsidRPr="00426F6A">
        <w:t xml:space="preserve">Zamawiający uzna za równoważny system operacyjny, który zapewni funkcjonowanie środowiska zgodnie z opisem z pkt. </w:t>
      </w:r>
      <w:r w:rsidR="004C1E41" w:rsidRPr="004C1E41">
        <w:t>2.</w:t>
      </w:r>
      <w:r w:rsidR="004C1E41">
        <w:t xml:space="preserve"> „</w:t>
      </w:r>
      <w:r w:rsidR="004C1E41" w:rsidRPr="004C1E41">
        <w:t>Docelowe środowisko serwerowe Zamawiającego</w:t>
      </w:r>
      <w:r w:rsidR="004C1E41">
        <w:t>”</w:t>
      </w:r>
      <w:r w:rsidR="004C1E41" w:rsidRPr="004C1E41">
        <w:t>.</w:t>
      </w:r>
      <w:r w:rsidRPr="00426F6A">
        <w:t xml:space="preserve"> </w:t>
      </w:r>
    </w:p>
    <w:p w14:paraId="70BFC721" w14:textId="77777777" w:rsidR="0011063D" w:rsidRPr="00426F6A" w:rsidRDefault="0011063D" w:rsidP="0011063D"/>
    <w:p w14:paraId="45F8A376" w14:textId="3CD0C427" w:rsidR="00A62221" w:rsidRDefault="0011063D" w:rsidP="00953425">
      <w:pPr>
        <w:pStyle w:val="Nagwek2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26F6A">
        <w:rPr>
          <w:rFonts w:ascii="Times New Roman" w:hAnsi="Times New Roman" w:cs="Times New Roman"/>
          <w:sz w:val="24"/>
          <w:szCs w:val="24"/>
        </w:rPr>
        <w:t>Warunki równoważności dla oprogramowania Microsoft System Center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4E8">
        <w:rPr>
          <w:rFonts w:ascii="Times New Roman" w:hAnsi="Times New Roman" w:cs="Times New Roman"/>
          <w:sz w:val="24"/>
          <w:szCs w:val="24"/>
        </w:rPr>
        <w:t>(Załącznik 1A, Pkt 22b)</w:t>
      </w:r>
    </w:p>
    <w:p w14:paraId="3001F033" w14:textId="77777777" w:rsidR="006314E8" w:rsidRPr="006314E8" w:rsidRDefault="006314E8" w:rsidP="006314E8"/>
    <w:p w14:paraId="3E11781E" w14:textId="002C63C1" w:rsidR="007D7912" w:rsidRDefault="0011063D" w:rsidP="0011063D">
      <w:r w:rsidRPr="00426F6A">
        <w:lastRenderedPageBreak/>
        <w:t>Zamawiający uzna za równoważne oprogramowanie do zarządzania maszynami wirtual</w:t>
      </w:r>
      <w:r w:rsidR="00C93D67">
        <w:t>nymi</w:t>
      </w:r>
      <w:r w:rsidRPr="00426F6A">
        <w:t xml:space="preserve"> i kopią zapasową, które zapewni funkcjonalności zgodnie z opisem z</w:t>
      </w:r>
      <w:r w:rsidR="004C1E41" w:rsidRPr="00426F6A">
        <w:t xml:space="preserve"> pkt. </w:t>
      </w:r>
      <w:r w:rsidR="004C1E41" w:rsidRPr="004C1E41">
        <w:t>2.</w:t>
      </w:r>
      <w:r w:rsidR="004C1E41">
        <w:t xml:space="preserve"> „</w:t>
      </w:r>
      <w:r w:rsidR="004C1E41" w:rsidRPr="004C1E41">
        <w:t>Docelowe środowisko serwerowe Zamawiającego</w:t>
      </w:r>
      <w:r w:rsidR="004C1E41">
        <w:t>”,</w:t>
      </w:r>
      <w:r w:rsidR="004C1E41" w:rsidRPr="00426F6A">
        <w:t xml:space="preserve"> </w:t>
      </w:r>
      <w:r w:rsidRPr="00426F6A">
        <w:t>w tym w szczególności obejmie swoim działaniem node1 i node2 tak, aby kopie maszyn wirtualnych z node1 i node2 można było odtworzyć na nowym node3 i nowym node4 (i na odwrót)</w:t>
      </w:r>
      <w:r w:rsidR="00C93D67">
        <w:t xml:space="preserve"> oraz zapewni jeden spójny system zarządzania całym środowiskiem wirtualnym </w:t>
      </w:r>
      <w:r w:rsidR="00C93D67" w:rsidRPr="001B62DE">
        <w:t xml:space="preserve">klastra. </w:t>
      </w:r>
      <w:r w:rsidR="002871EC" w:rsidRPr="001B62DE">
        <w:t>Oprogramowanie równoważne musi posiadać licencję na wykonywanie nieograniczonej ilości kopii zapasowych maszyn wirtualnych, o łącznej wielkości co najmniej 50 TB, obejmujących co najmniej 120 maszyn wirtualnych.</w:t>
      </w:r>
      <w:r w:rsidR="001C4024" w:rsidRPr="001B62DE">
        <w:t xml:space="preserve"> </w:t>
      </w:r>
    </w:p>
    <w:p w14:paraId="0318E7F8" w14:textId="77777777" w:rsidR="0011063D" w:rsidRDefault="0011063D" w:rsidP="0011063D">
      <w:r w:rsidRPr="00426F6A">
        <w:t xml:space="preserve"> </w:t>
      </w:r>
    </w:p>
    <w:p w14:paraId="6D87B948" w14:textId="1366871E" w:rsidR="0011063D" w:rsidRPr="00426F6A" w:rsidRDefault="0011063D" w:rsidP="0011063D">
      <w:pPr>
        <w:pStyle w:val="Nagwek2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26F6A">
        <w:rPr>
          <w:rFonts w:ascii="Times New Roman" w:hAnsi="Times New Roman" w:cs="Times New Roman"/>
          <w:sz w:val="24"/>
          <w:szCs w:val="24"/>
        </w:rPr>
        <w:t xml:space="preserve">Warunki równoważności dla oprogramowania Microsoft </w:t>
      </w:r>
      <w:r w:rsidRPr="0074597D">
        <w:rPr>
          <w:rFonts w:ascii="Times New Roman" w:hAnsi="Times New Roman" w:cs="Times New Roman"/>
          <w:sz w:val="24"/>
          <w:szCs w:val="24"/>
        </w:rPr>
        <w:t>Server 2019 Standard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4E8">
        <w:rPr>
          <w:rFonts w:ascii="Times New Roman" w:hAnsi="Times New Roman" w:cs="Times New Roman"/>
          <w:sz w:val="24"/>
          <w:szCs w:val="24"/>
        </w:rPr>
        <w:t>(Załącznik 1B, Pkt 21)</w:t>
      </w:r>
    </w:p>
    <w:p w14:paraId="0ADBF519" w14:textId="77777777" w:rsidR="0011063D" w:rsidRDefault="0011063D" w:rsidP="0011063D"/>
    <w:p w14:paraId="335686E4" w14:textId="77777777" w:rsidR="0011063D" w:rsidRDefault="0011063D" w:rsidP="0011063D">
      <w:r w:rsidRPr="00426F6A">
        <w:t>Zamawiający uzna za równoważne oprogramowanie</w:t>
      </w:r>
      <w:r>
        <w:t xml:space="preserve"> spełniające warunki:</w:t>
      </w:r>
    </w:p>
    <w:p w14:paraId="1981A542" w14:textId="03B961A3" w:rsidR="0011063D" w:rsidRDefault="007D7912" w:rsidP="0011063D">
      <w:pPr>
        <w:pStyle w:val="Akapitzlist"/>
        <w:numPr>
          <w:ilvl w:val="0"/>
          <w:numId w:val="6"/>
        </w:numPr>
      </w:pPr>
      <w:r>
        <w:t>z</w:t>
      </w:r>
      <w:r w:rsidR="0011063D" w:rsidRPr="004972B3">
        <w:t>awarta możliwość uruchomienia roli serwera DNS</w:t>
      </w:r>
      <w:r>
        <w:t>,</w:t>
      </w:r>
    </w:p>
    <w:p w14:paraId="1DAD92F2" w14:textId="23D2F25C" w:rsidR="0011063D" w:rsidRDefault="007D7912" w:rsidP="0011063D">
      <w:pPr>
        <w:pStyle w:val="Akapitzlist"/>
        <w:numPr>
          <w:ilvl w:val="0"/>
          <w:numId w:val="6"/>
        </w:numPr>
      </w:pPr>
      <w:r>
        <w:t>z</w:t>
      </w:r>
      <w:r w:rsidR="0011063D">
        <w:t>awarta możliwość uruchomienia roli kontrolera domeny Active Directory</w:t>
      </w:r>
      <w:r>
        <w:t>,</w:t>
      </w:r>
    </w:p>
    <w:p w14:paraId="26EB09B5" w14:textId="52659ED7" w:rsidR="0011063D" w:rsidRDefault="007D7912" w:rsidP="0011063D">
      <w:pPr>
        <w:pStyle w:val="Akapitzlist"/>
        <w:numPr>
          <w:ilvl w:val="0"/>
          <w:numId w:val="6"/>
        </w:numPr>
      </w:pPr>
      <w:r>
        <w:t>z</w:t>
      </w:r>
      <w:r w:rsidR="0011063D" w:rsidRPr="004972B3">
        <w:t>awarta możliwość uruchomienia roli serwera plików z uwierzytelnieniem i autoryzacją dostępu w domenie Microsoft Active Directory</w:t>
      </w:r>
      <w:r>
        <w:t>,</w:t>
      </w:r>
    </w:p>
    <w:p w14:paraId="21E03CA6" w14:textId="456B463D" w:rsidR="0011063D" w:rsidRDefault="007D7912" w:rsidP="0011063D">
      <w:pPr>
        <w:pStyle w:val="Akapitzlist"/>
        <w:numPr>
          <w:ilvl w:val="0"/>
          <w:numId w:val="6"/>
        </w:numPr>
      </w:pPr>
      <w:r>
        <w:t>z</w:t>
      </w:r>
      <w:r w:rsidR="0011063D" w:rsidRPr="004972B3">
        <w:t>awarta możliwość uruchomienia roli serwera wydruku z uwierzytelnieniem i autoryzacją dostępu w domenie Microsoft Active Directory</w:t>
      </w:r>
      <w:r>
        <w:t>,</w:t>
      </w:r>
    </w:p>
    <w:p w14:paraId="32836241" w14:textId="25EAB38D" w:rsidR="0011063D" w:rsidRDefault="007D7912" w:rsidP="0011063D">
      <w:pPr>
        <w:pStyle w:val="Akapitzlist"/>
        <w:numPr>
          <w:ilvl w:val="0"/>
          <w:numId w:val="6"/>
        </w:numPr>
      </w:pPr>
      <w:r>
        <w:t>z</w:t>
      </w:r>
      <w:r w:rsidR="0011063D" w:rsidRPr="004972B3">
        <w:t>awarta możliwość uruchomienia roli serwera stron WWW</w:t>
      </w:r>
      <w:r>
        <w:t>,</w:t>
      </w:r>
    </w:p>
    <w:p w14:paraId="44C5C072" w14:textId="1600A090" w:rsidR="0002573A" w:rsidRDefault="007D7912" w:rsidP="0002573A">
      <w:pPr>
        <w:pStyle w:val="Akapitzlist"/>
        <w:numPr>
          <w:ilvl w:val="0"/>
          <w:numId w:val="6"/>
        </w:numPr>
      </w:pPr>
      <w:r>
        <w:t>z</w:t>
      </w:r>
      <w:r w:rsidR="0002573A" w:rsidRPr="004972B3">
        <w:t xml:space="preserve">awarta możliwość uruchomienia roli serwera </w:t>
      </w:r>
      <w:r w:rsidR="0002573A">
        <w:t>WSUS</w:t>
      </w:r>
      <w:r>
        <w:t>,</w:t>
      </w:r>
    </w:p>
    <w:p w14:paraId="7A1588F3" w14:textId="2A4ABC1B" w:rsidR="0002573A" w:rsidRDefault="007D7912" w:rsidP="0002573A">
      <w:pPr>
        <w:pStyle w:val="Akapitzlist"/>
        <w:numPr>
          <w:ilvl w:val="0"/>
          <w:numId w:val="6"/>
        </w:numPr>
      </w:pPr>
      <w:r>
        <w:t>z</w:t>
      </w:r>
      <w:r w:rsidR="0002573A" w:rsidRPr="004972B3">
        <w:t xml:space="preserve">awarta możliwość uruchomienia </w:t>
      </w:r>
      <w:r w:rsidR="0002573A">
        <w:t>GPO</w:t>
      </w:r>
      <w:r>
        <w:t>,</w:t>
      </w:r>
    </w:p>
    <w:p w14:paraId="2574E3CA" w14:textId="44114E24" w:rsidR="0002573A" w:rsidRDefault="007D7912" w:rsidP="0002573A">
      <w:pPr>
        <w:pStyle w:val="Akapitzlist"/>
        <w:numPr>
          <w:ilvl w:val="0"/>
          <w:numId w:val="6"/>
        </w:numPr>
      </w:pPr>
      <w:r>
        <w:t>z</w:t>
      </w:r>
      <w:r w:rsidR="0002573A" w:rsidRPr="004972B3">
        <w:t xml:space="preserve">awarta możliwość uruchomienia roli serwera </w:t>
      </w:r>
      <w:r w:rsidR="0002573A">
        <w:t>Hyper-V z licencją na dwie maszyny wirtualne z systemem Windows Server 2019</w:t>
      </w:r>
      <w:r>
        <w:t>,</w:t>
      </w:r>
    </w:p>
    <w:p w14:paraId="755D290F" w14:textId="498FD47C" w:rsidR="0011063D" w:rsidRDefault="007D7912" w:rsidP="0011063D">
      <w:pPr>
        <w:pStyle w:val="Akapitzlist"/>
        <w:numPr>
          <w:ilvl w:val="0"/>
          <w:numId w:val="6"/>
        </w:numPr>
      </w:pPr>
      <w:r>
        <w:t>w</w:t>
      </w:r>
      <w:r w:rsidR="0011063D" w:rsidRPr="004972B3">
        <w:t xml:space="preserve"> ramach dostarczonej licencji zawarte prawo do pobierania poprawek systemu operacyjnego</w:t>
      </w:r>
      <w:r>
        <w:t>,</w:t>
      </w:r>
    </w:p>
    <w:p w14:paraId="11FD0F4D" w14:textId="0FC391F6" w:rsidR="0011063D" w:rsidRDefault="007D7912" w:rsidP="0011063D">
      <w:pPr>
        <w:pStyle w:val="Akapitzlist"/>
        <w:numPr>
          <w:ilvl w:val="0"/>
          <w:numId w:val="6"/>
        </w:numPr>
      </w:pPr>
      <w:r>
        <w:t>p</w:t>
      </w:r>
      <w:r w:rsidR="0011063D">
        <w:t>raca w roli klienta domeny Active Directory</w:t>
      </w:r>
      <w:r>
        <w:t>,</w:t>
      </w:r>
    </w:p>
    <w:p w14:paraId="3440B159" w14:textId="3F49B02E" w:rsidR="0011063D" w:rsidRPr="00104679" w:rsidRDefault="007D7912" w:rsidP="0011063D">
      <w:pPr>
        <w:pStyle w:val="Akapitzlist"/>
        <w:numPr>
          <w:ilvl w:val="0"/>
          <w:numId w:val="6"/>
        </w:numPr>
      </w:pPr>
      <w:r>
        <w:t>m</w:t>
      </w:r>
      <w:r w:rsidR="0011063D" w:rsidRPr="00104679">
        <w:t>ożliwość instalacji i obsługi systemu kopii zapasowych poprzez agentów zainstalowanych na węzłach klastra.</w:t>
      </w:r>
    </w:p>
    <w:p w14:paraId="62CCDF3A" w14:textId="0AFEBD67" w:rsidR="00A204FC" w:rsidRPr="00803425" w:rsidRDefault="0011063D" w:rsidP="00A04D0F">
      <w:r>
        <w:t> </w:t>
      </w:r>
    </w:p>
    <w:p w14:paraId="6B472CB2" w14:textId="77777777" w:rsidR="0011063D" w:rsidRPr="00803425" w:rsidRDefault="0011063D"/>
    <w:sectPr w:rsidR="0011063D" w:rsidRPr="00803425" w:rsidSect="00367A5A">
      <w:footerReference w:type="even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D1455" w14:textId="77777777" w:rsidR="00616825" w:rsidRDefault="00616825">
      <w:r>
        <w:separator/>
      </w:r>
    </w:p>
  </w:endnote>
  <w:endnote w:type="continuationSeparator" w:id="0">
    <w:p w14:paraId="634112E5" w14:textId="77777777" w:rsidR="00616825" w:rsidRDefault="0061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5BEBA" w14:textId="77777777" w:rsidR="00F551B6" w:rsidRDefault="00F551B6" w:rsidP="009219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D2B452" w14:textId="77777777" w:rsidR="00F551B6" w:rsidRDefault="00F551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F237F" w14:textId="77777777" w:rsidR="00F551B6" w:rsidRDefault="00F551B6" w:rsidP="009219E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7F749" w14:textId="77777777" w:rsidR="00616825" w:rsidRDefault="00616825">
      <w:r>
        <w:separator/>
      </w:r>
    </w:p>
  </w:footnote>
  <w:footnote w:type="continuationSeparator" w:id="0">
    <w:p w14:paraId="63D401D2" w14:textId="77777777" w:rsidR="00616825" w:rsidRDefault="00616825">
      <w:r>
        <w:continuationSeparator/>
      </w:r>
    </w:p>
  </w:footnote>
  <w:footnote w:id="1">
    <w:p w14:paraId="2EBD0A40" w14:textId="77777777" w:rsidR="00F551B6" w:rsidRDefault="00F551B6" w:rsidP="0011063D">
      <w:pPr>
        <w:pStyle w:val="Tekstprzypisudolnego"/>
      </w:pPr>
      <w:r>
        <w:rPr>
          <w:rStyle w:val="Odwoanieprzypisudolnego"/>
        </w:rPr>
        <w:footnoteRef/>
      </w:r>
      <w:r>
        <w:t xml:space="preserve"> Zgodnie z posiadaną przez Zamawiającego Licencją oraz limitami serwera fizycznego</w:t>
      </w:r>
    </w:p>
  </w:footnote>
  <w:footnote w:id="2">
    <w:p w14:paraId="253F0C7F" w14:textId="77777777" w:rsidR="00F551B6" w:rsidRDefault="00F551B6" w:rsidP="0011063D">
      <w:pPr>
        <w:pStyle w:val="Tekstprzypisudolnego"/>
      </w:pPr>
      <w:r>
        <w:rPr>
          <w:rStyle w:val="Odwoanieprzypisudolnego"/>
        </w:rPr>
        <w:footnoteRef/>
      </w:r>
      <w:r>
        <w:t xml:space="preserve"> Lub mniejsza, gdy wynika z ograniczeń sprzętowych serwera fizycznego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4547"/>
    <w:multiLevelType w:val="hybridMultilevel"/>
    <w:tmpl w:val="B64878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51637"/>
    <w:multiLevelType w:val="hybridMultilevel"/>
    <w:tmpl w:val="E4F894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143EA4"/>
    <w:multiLevelType w:val="hybridMultilevel"/>
    <w:tmpl w:val="DB54CBF6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1C97FC5"/>
    <w:multiLevelType w:val="hybridMultilevel"/>
    <w:tmpl w:val="5888DC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F28D1"/>
    <w:multiLevelType w:val="hybridMultilevel"/>
    <w:tmpl w:val="16EEF6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144B0"/>
    <w:multiLevelType w:val="hybridMultilevel"/>
    <w:tmpl w:val="B10CB0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DF"/>
    <w:rsid w:val="000017F7"/>
    <w:rsid w:val="00002C8B"/>
    <w:rsid w:val="00003271"/>
    <w:rsid w:val="000234DE"/>
    <w:rsid w:val="0002573A"/>
    <w:rsid w:val="000345F8"/>
    <w:rsid w:val="00061C8F"/>
    <w:rsid w:val="00066C80"/>
    <w:rsid w:val="00094516"/>
    <w:rsid w:val="0009693F"/>
    <w:rsid w:val="000A471E"/>
    <w:rsid w:val="000A7C10"/>
    <w:rsid w:val="000B67B4"/>
    <w:rsid w:val="000C1492"/>
    <w:rsid w:val="000E0816"/>
    <w:rsid w:val="000E149C"/>
    <w:rsid w:val="000E46F2"/>
    <w:rsid w:val="00104679"/>
    <w:rsid w:val="00104D89"/>
    <w:rsid w:val="00105F83"/>
    <w:rsid w:val="0011063D"/>
    <w:rsid w:val="00117173"/>
    <w:rsid w:val="00122FA8"/>
    <w:rsid w:val="001336DF"/>
    <w:rsid w:val="0013375A"/>
    <w:rsid w:val="00137B0D"/>
    <w:rsid w:val="00156B81"/>
    <w:rsid w:val="00161F72"/>
    <w:rsid w:val="00162009"/>
    <w:rsid w:val="0017136D"/>
    <w:rsid w:val="001853B2"/>
    <w:rsid w:val="00187828"/>
    <w:rsid w:val="001A704D"/>
    <w:rsid w:val="001B62DE"/>
    <w:rsid w:val="001C4024"/>
    <w:rsid w:val="001C60E3"/>
    <w:rsid w:val="001D7D12"/>
    <w:rsid w:val="001E0226"/>
    <w:rsid w:val="001E2332"/>
    <w:rsid w:val="001F1722"/>
    <w:rsid w:val="001F20B0"/>
    <w:rsid w:val="001F673A"/>
    <w:rsid w:val="00212A36"/>
    <w:rsid w:val="00217FBC"/>
    <w:rsid w:val="00220752"/>
    <w:rsid w:val="002333A4"/>
    <w:rsid w:val="0023693F"/>
    <w:rsid w:val="00254196"/>
    <w:rsid w:val="002629FC"/>
    <w:rsid w:val="002668E4"/>
    <w:rsid w:val="002871EC"/>
    <w:rsid w:val="00295CF0"/>
    <w:rsid w:val="002A2F0F"/>
    <w:rsid w:val="002A3394"/>
    <w:rsid w:val="002A4946"/>
    <w:rsid w:val="002B123A"/>
    <w:rsid w:val="002D2FFD"/>
    <w:rsid w:val="002D378E"/>
    <w:rsid w:val="002D7F64"/>
    <w:rsid w:val="002E3272"/>
    <w:rsid w:val="00306D4F"/>
    <w:rsid w:val="00333618"/>
    <w:rsid w:val="00347230"/>
    <w:rsid w:val="00357D81"/>
    <w:rsid w:val="00363106"/>
    <w:rsid w:val="00367A5A"/>
    <w:rsid w:val="00374119"/>
    <w:rsid w:val="00376410"/>
    <w:rsid w:val="003860D3"/>
    <w:rsid w:val="003C15C8"/>
    <w:rsid w:val="003C3401"/>
    <w:rsid w:val="003E15EA"/>
    <w:rsid w:val="004029B6"/>
    <w:rsid w:val="004209F6"/>
    <w:rsid w:val="00420E61"/>
    <w:rsid w:val="0042249A"/>
    <w:rsid w:val="00425750"/>
    <w:rsid w:val="0043242D"/>
    <w:rsid w:val="00441994"/>
    <w:rsid w:val="00444295"/>
    <w:rsid w:val="004443B9"/>
    <w:rsid w:val="00444EA7"/>
    <w:rsid w:val="00457844"/>
    <w:rsid w:val="00460225"/>
    <w:rsid w:val="004738D9"/>
    <w:rsid w:val="00493342"/>
    <w:rsid w:val="004B2A1D"/>
    <w:rsid w:val="004B6E18"/>
    <w:rsid w:val="004C1E41"/>
    <w:rsid w:val="004D0244"/>
    <w:rsid w:val="004E047C"/>
    <w:rsid w:val="004E2C7A"/>
    <w:rsid w:val="004E55F3"/>
    <w:rsid w:val="00501A2A"/>
    <w:rsid w:val="00522A73"/>
    <w:rsid w:val="00524FAC"/>
    <w:rsid w:val="00526751"/>
    <w:rsid w:val="005373C5"/>
    <w:rsid w:val="005518B2"/>
    <w:rsid w:val="00556F3B"/>
    <w:rsid w:val="00570892"/>
    <w:rsid w:val="00577889"/>
    <w:rsid w:val="00596241"/>
    <w:rsid w:val="005A77B5"/>
    <w:rsid w:val="005B6F17"/>
    <w:rsid w:val="005C2012"/>
    <w:rsid w:val="005D08A5"/>
    <w:rsid w:val="005D147F"/>
    <w:rsid w:val="005D6038"/>
    <w:rsid w:val="005D7FE2"/>
    <w:rsid w:val="005F122E"/>
    <w:rsid w:val="005F1801"/>
    <w:rsid w:val="005F2DF9"/>
    <w:rsid w:val="005F68C2"/>
    <w:rsid w:val="00611B31"/>
    <w:rsid w:val="00615390"/>
    <w:rsid w:val="00616825"/>
    <w:rsid w:val="00621150"/>
    <w:rsid w:val="006314E8"/>
    <w:rsid w:val="006465C6"/>
    <w:rsid w:val="00667733"/>
    <w:rsid w:val="00676C20"/>
    <w:rsid w:val="006B2AC3"/>
    <w:rsid w:val="006B774E"/>
    <w:rsid w:val="006D5779"/>
    <w:rsid w:val="006E6D86"/>
    <w:rsid w:val="006F6A34"/>
    <w:rsid w:val="00706DD1"/>
    <w:rsid w:val="007070D6"/>
    <w:rsid w:val="00710027"/>
    <w:rsid w:val="00712AF6"/>
    <w:rsid w:val="00720C7E"/>
    <w:rsid w:val="0074233D"/>
    <w:rsid w:val="007428E3"/>
    <w:rsid w:val="00746762"/>
    <w:rsid w:val="00756F37"/>
    <w:rsid w:val="007A16D5"/>
    <w:rsid w:val="007D7912"/>
    <w:rsid w:val="007E4B0A"/>
    <w:rsid w:val="00803425"/>
    <w:rsid w:val="00803E25"/>
    <w:rsid w:val="0084160A"/>
    <w:rsid w:val="00853926"/>
    <w:rsid w:val="008560F1"/>
    <w:rsid w:val="0086016A"/>
    <w:rsid w:val="0086371E"/>
    <w:rsid w:val="008656D4"/>
    <w:rsid w:val="00883D90"/>
    <w:rsid w:val="008C3396"/>
    <w:rsid w:val="008D37FE"/>
    <w:rsid w:val="008E468F"/>
    <w:rsid w:val="008F25DF"/>
    <w:rsid w:val="008F778C"/>
    <w:rsid w:val="00911704"/>
    <w:rsid w:val="009219E1"/>
    <w:rsid w:val="00926803"/>
    <w:rsid w:val="00932035"/>
    <w:rsid w:val="009418B4"/>
    <w:rsid w:val="00966218"/>
    <w:rsid w:val="009717CD"/>
    <w:rsid w:val="00977E53"/>
    <w:rsid w:val="009B5E41"/>
    <w:rsid w:val="009C58C5"/>
    <w:rsid w:val="009C5B4F"/>
    <w:rsid w:val="009D1D83"/>
    <w:rsid w:val="009D24F1"/>
    <w:rsid w:val="009D7D86"/>
    <w:rsid w:val="009F4DFE"/>
    <w:rsid w:val="00A0249F"/>
    <w:rsid w:val="00A04D0F"/>
    <w:rsid w:val="00A1368E"/>
    <w:rsid w:val="00A204FC"/>
    <w:rsid w:val="00A251B6"/>
    <w:rsid w:val="00A30F4E"/>
    <w:rsid w:val="00A3633D"/>
    <w:rsid w:val="00A37895"/>
    <w:rsid w:val="00A57871"/>
    <w:rsid w:val="00A62221"/>
    <w:rsid w:val="00A63AF8"/>
    <w:rsid w:val="00A652E3"/>
    <w:rsid w:val="00A959CB"/>
    <w:rsid w:val="00AA1CEF"/>
    <w:rsid w:val="00AA7CCF"/>
    <w:rsid w:val="00AB019F"/>
    <w:rsid w:val="00AB0C25"/>
    <w:rsid w:val="00AC7EDE"/>
    <w:rsid w:val="00B246A6"/>
    <w:rsid w:val="00B34D61"/>
    <w:rsid w:val="00B75C8F"/>
    <w:rsid w:val="00BC2E26"/>
    <w:rsid w:val="00BE7442"/>
    <w:rsid w:val="00C17AB1"/>
    <w:rsid w:val="00C21518"/>
    <w:rsid w:val="00C333DA"/>
    <w:rsid w:val="00C35F85"/>
    <w:rsid w:val="00C42D57"/>
    <w:rsid w:val="00C47946"/>
    <w:rsid w:val="00C47D80"/>
    <w:rsid w:val="00C54D2C"/>
    <w:rsid w:val="00C56F24"/>
    <w:rsid w:val="00C573AB"/>
    <w:rsid w:val="00C6392C"/>
    <w:rsid w:val="00C73665"/>
    <w:rsid w:val="00C85B5D"/>
    <w:rsid w:val="00C86F27"/>
    <w:rsid w:val="00C92C7B"/>
    <w:rsid w:val="00C93D67"/>
    <w:rsid w:val="00C95E4B"/>
    <w:rsid w:val="00CA1BCA"/>
    <w:rsid w:val="00CA1BE6"/>
    <w:rsid w:val="00CA2078"/>
    <w:rsid w:val="00CA6559"/>
    <w:rsid w:val="00CB3366"/>
    <w:rsid w:val="00CB4ADE"/>
    <w:rsid w:val="00CC0865"/>
    <w:rsid w:val="00CD2148"/>
    <w:rsid w:val="00CF0136"/>
    <w:rsid w:val="00CF2F58"/>
    <w:rsid w:val="00D34B1E"/>
    <w:rsid w:val="00D4137E"/>
    <w:rsid w:val="00D44607"/>
    <w:rsid w:val="00D4781D"/>
    <w:rsid w:val="00D54FD2"/>
    <w:rsid w:val="00D60103"/>
    <w:rsid w:val="00D73386"/>
    <w:rsid w:val="00DA3B28"/>
    <w:rsid w:val="00DC2739"/>
    <w:rsid w:val="00DD3021"/>
    <w:rsid w:val="00DD4EC1"/>
    <w:rsid w:val="00DD78D2"/>
    <w:rsid w:val="00E01FB3"/>
    <w:rsid w:val="00E42AD5"/>
    <w:rsid w:val="00E57CEF"/>
    <w:rsid w:val="00E60DDD"/>
    <w:rsid w:val="00E63CF7"/>
    <w:rsid w:val="00E640FD"/>
    <w:rsid w:val="00E82101"/>
    <w:rsid w:val="00E84F4E"/>
    <w:rsid w:val="00E956B8"/>
    <w:rsid w:val="00E976B8"/>
    <w:rsid w:val="00EB5469"/>
    <w:rsid w:val="00EC72DE"/>
    <w:rsid w:val="00EC7369"/>
    <w:rsid w:val="00ED279F"/>
    <w:rsid w:val="00EE27E2"/>
    <w:rsid w:val="00EF0430"/>
    <w:rsid w:val="00EF07AA"/>
    <w:rsid w:val="00F00DCD"/>
    <w:rsid w:val="00F05C36"/>
    <w:rsid w:val="00F0753A"/>
    <w:rsid w:val="00F07CED"/>
    <w:rsid w:val="00F10374"/>
    <w:rsid w:val="00F272CE"/>
    <w:rsid w:val="00F46FFF"/>
    <w:rsid w:val="00F551B6"/>
    <w:rsid w:val="00F55E81"/>
    <w:rsid w:val="00FA1367"/>
    <w:rsid w:val="00FB0D33"/>
    <w:rsid w:val="00FB4210"/>
    <w:rsid w:val="00FB628C"/>
    <w:rsid w:val="00FC2F57"/>
    <w:rsid w:val="00FC3725"/>
    <w:rsid w:val="00FC69B7"/>
    <w:rsid w:val="00FD7FA2"/>
    <w:rsid w:val="00FF0E00"/>
    <w:rsid w:val="00FF4725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F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5F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04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5F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rsid w:val="008F2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8F25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F25DF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25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25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F25DF"/>
    <w:rPr>
      <w:vertAlign w:val="superscript"/>
    </w:rPr>
  </w:style>
  <w:style w:type="paragraph" w:styleId="Stopka">
    <w:name w:val="footer"/>
    <w:basedOn w:val="Normalny"/>
    <w:link w:val="StopkaZnak"/>
    <w:rsid w:val="008F25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25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F25DF"/>
  </w:style>
  <w:style w:type="paragraph" w:styleId="Nagwek">
    <w:name w:val="header"/>
    <w:basedOn w:val="Normalny"/>
    <w:link w:val="NagwekZnak"/>
    <w:rsid w:val="008F25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25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F25DF"/>
    <w:rPr>
      <w:strike w:val="0"/>
      <w:dstrike w:val="0"/>
      <w:color w:val="000080"/>
      <w:u w:val="none"/>
      <w:effect w:val="none"/>
    </w:rPr>
  </w:style>
  <w:style w:type="character" w:styleId="Pogrubienie">
    <w:name w:val="Strong"/>
    <w:qFormat/>
    <w:rsid w:val="008F25DF"/>
    <w:rPr>
      <w:b/>
      <w:bCs/>
    </w:rPr>
  </w:style>
  <w:style w:type="paragraph" w:customStyle="1" w:styleId="pkt">
    <w:name w:val="pkt"/>
    <w:basedOn w:val="Normalny"/>
    <w:rsid w:val="008F25DF"/>
    <w:pPr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8F25D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04D89"/>
    <w:pPr>
      <w:ind w:left="720"/>
      <w:contextualSpacing/>
    </w:pPr>
  </w:style>
  <w:style w:type="paragraph" w:customStyle="1" w:styleId="Default">
    <w:name w:val="Default"/>
    <w:uiPriority w:val="99"/>
    <w:rsid w:val="00C56F2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36D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A204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42D5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5F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04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5F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rsid w:val="008F2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8F25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F25DF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25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25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F25DF"/>
    <w:rPr>
      <w:vertAlign w:val="superscript"/>
    </w:rPr>
  </w:style>
  <w:style w:type="paragraph" w:styleId="Stopka">
    <w:name w:val="footer"/>
    <w:basedOn w:val="Normalny"/>
    <w:link w:val="StopkaZnak"/>
    <w:rsid w:val="008F25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25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F25DF"/>
  </w:style>
  <w:style w:type="paragraph" w:styleId="Nagwek">
    <w:name w:val="header"/>
    <w:basedOn w:val="Normalny"/>
    <w:link w:val="NagwekZnak"/>
    <w:rsid w:val="008F25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25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F25DF"/>
    <w:rPr>
      <w:strike w:val="0"/>
      <w:dstrike w:val="0"/>
      <w:color w:val="000080"/>
      <w:u w:val="none"/>
      <w:effect w:val="none"/>
    </w:rPr>
  </w:style>
  <w:style w:type="character" w:styleId="Pogrubienie">
    <w:name w:val="Strong"/>
    <w:qFormat/>
    <w:rsid w:val="008F25DF"/>
    <w:rPr>
      <w:b/>
      <w:bCs/>
    </w:rPr>
  </w:style>
  <w:style w:type="paragraph" w:customStyle="1" w:styleId="pkt">
    <w:name w:val="pkt"/>
    <w:basedOn w:val="Normalny"/>
    <w:rsid w:val="008F25DF"/>
    <w:pPr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8F25D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04D89"/>
    <w:pPr>
      <w:ind w:left="720"/>
      <w:contextualSpacing/>
    </w:pPr>
  </w:style>
  <w:style w:type="paragraph" w:customStyle="1" w:styleId="Default">
    <w:name w:val="Default"/>
    <w:uiPriority w:val="99"/>
    <w:rsid w:val="00C56F2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36D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A204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42D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exchange.nagios.org/directory/Plugi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xchange.nagios.org/directory/Plugi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5A1D7-48EB-4B98-B13E-69B4A3EE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8</Pages>
  <Words>2543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Stradecki</cp:lastModifiedBy>
  <cp:revision>30</cp:revision>
  <cp:lastPrinted>2020-02-21T07:33:00Z</cp:lastPrinted>
  <dcterms:created xsi:type="dcterms:W3CDTF">2020-03-09T06:39:00Z</dcterms:created>
  <dcterms:modified xsi:type="dcterms:W3CDTF">2020-04-06T10:09:00Z</dcterms:modified>
</cp:coreProperties>
</file>